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8C4B5" w14:textId="77777777" w:rsidR="009E6C68" w:rsidRPr="006B56A1" w:rsidRDefault="006B56A1" w:rsidP="00332C5C">
      <w:pPr>
        <w:tabs>
          <w:tab w:val="left" w:pos="8647"/>
        </w:tabs>
        <w:spacing w:line="240" w:lineRule="auto"/>
        <w:ind w:left="567" w:right="425"/>
        <w:contextualSpacing/>
        <w:jc w:val="both"/>
        <w:rPr>
          <w:rFonts w:ascii="Verdana" w:hAnsi="Verdana"/>
          <w:b/>
          <w:bCs/>
          <w:sz w:val="28"/>
          <w:szCs w:val="28"/>
          <w:shd w:val="clear" w:color="auto" w:fill="FFFFFF"/>
        </w:rPr>
      </w:pPr>
      <w:r w:rsidRPr="006B56A1">
        <w:rPr>
          <w:rFonts w:ascii="Verdana" w:hAnsi="Verdana"/>
          <w:b/>
          <w:sz w:val="28"/>
          <w:szCs w:val="28"/>
        </w:rPr>
        <w:t>Co</w:t>
      </w:r>
      <w:r w:rsidR="009141F5" w:rsidRPr="006B56A1">
        <w:rPr>
          <w:rFonts w:ascii="Verdana" w:hAnsi="Verdana"/>
          <w:b/>
          <w:sz w:val="28"/>
          <w:szCs w:val="28"/>
        </w:rPr>
        <w:t>mmento</w:t>
      </w:r>
      <w:r w:rsidR="00A415C2" w:rsidRPr="006B56A1">
        <w:rPr>
          <w:rFonts w:ascii="Verdana" w:hAnsi="Verdana"/>
          <w:b/>
          <w:sz w:val="28"/>
          <w:szCs w:val="28"/>
        </w:rPr>
        <w:t xml:space="preserve"> all’ordinanza</w:t>
      </w:r>
      <w:r w:rsidR="00B35F13">
        <w:rPr>
          <w:rFonts w:ascii="Verdana" w:hAnsi="Verdana"/>
          <w:b/>
          <w:sz w:val="28"/>
          <w:szCs w:val="28"/>
        </w:rPr>
        <w:t xml:space="preserve"> </w:t>
      </w:r>
      <w:bookmarkStart w:id="0" w:name="_GoBack"/>
      <w:bookmarkEnd w:id="0"/>
      <w:r w:rsidR="00A415C2" w:rsidRPr="006B56A1">
        <w:rPr>
          <w:rFonts w:ascii="Verdana" w:hAnsi="Verdana"/>
          <w:b/>
          <w:sz w:val="28"/>
          <w:szCs w:val="28"/>
        </w:rPr>
        <w:t xml:space="preserve">del </w:t>
      </w:r>
      <w:r w:rsidR="0050379E" w:rsidRPr="006B56A1">
        <w:rPr>
          <w:rFonts w:ascii="Verdana" w:hAnsi="Verdana"/>
          <w:b/>
          <w:bCs/>
          <w:sz w:val="28"/>
          <w:szCs w:val="28"/>
          <w:shd w:val="clear" w:color="auto" w:fill="FFFFFF"/>
        </w:rPr>
        <w:t>12 gennaio 2017 (ud. 13 dicembre 2016), n. 1418</w:t>
      </w:r>
      <w:r w:rsidR="0050379E" w:rsidRPr="006B56A1">
        <w:rPr>
          <w:rFonts w:ascii="Verdana" w:hAnsi="Verdana"/>
          <w:b/>
          <w:sz w:val="28"/>
          <w:szCs w:val="28"/>
        </w:rPr>
        <w:t xml:space="preserve">, </w:t>
      </w:r>
      <w:r w:rsidR="00F86E8D">
        <w:rPr>
          <w:rFonts w:ascii="Verdana" w:hAnsi="Verdana"/>
          <w:b/>
          <w:bCs/>
          <w:sz w:val="28"/>
          <w:szCs w:val="28"/>
          <w:shd w:val="clear" w:color="auto" w:fill="FFFFFF"/>
        </w:rPr>
        <w:t>Cassazione p</w:t>
      </w:r>
      <w:r w:rsidR="00A415C2" w:rsidRPr="006B56A1">
        <w:rPr>
          <w:rFonts w:ascii="Verdana" w:hAnsi="Verdana"/>
          <w:b/>
          <w:bCs/>
          <w:sz w:val="28"/>
          <w:szCs w:val="28"/>
          <w:shd w:val="clear" w:color="auto" w:fill="FFFFFF"/>
        </w:rPr>
        <w:t>enale, Sezione VI.</w:t>
      </w:r>
    </w:p>
    <w:p w14:paraId="0A2F176B" w14:textId="77777777" w:rsidR="006B56A1" w:rsidRDefault="006B56A1" w:rsidP="009141F5">
      <w:pPr>
        <w:spacing w:line="240" w:lineRule="auto"/>
        <w:ind w:left="567" w:right="566"/>
        <w:contextualSpacing/>
        <w:jc w:val="both"/>
        <w:rPr>
          <w:rFonts w:ascii="Verdana" w:hAnsi="Verdana"/>
          <w:sz w:val="24"/>
          <w:szCs w:val="24"/>
        </w:rPr>
      </w:pPr>
    </w:p>
    <w:p w14:paraId="4BA2182C" w14:textId="77777777" w:rsidR="00465B71" w:rsidRPr="008967F0" w:rsidRDefault="00E16D2C" w:rsidP="008967F0">
      <w:pPr>
        <w:spacing w:line="240" w:lineRule="auto"/>
        <w:ind w:left="567" w:right="425"/>
        <w:contextualSpacing/>
        <w:jc w:val="both"/>
        <w:rPr>
          <w:sz w:val="28"/>
          <w:szCs w:val="28"/>
        </w:rPr>
      </w:pPr>
      <w:r w:rsidRPr="008967F0">
        <w:rPr>
          <w:sz w:val="28"/>
          <w:szCs w:val="28"/>
        </w:rPr>
        <w:t>L</w:t>
      </w:r>
      <w:r w:rsidR="001A4334" w:rsidRPr="008967F0">
        <w:rPr>
          <w:sz w:val="28"/>
          <w:szCs w:val="28"/>
        </w:rPr>
        <w:t xml:space="preserve">a sesta sezione </w:t>
      </w:r>
      <w:r w:rsidRPr="008967F0">
        <w:rPr>
          <w:sz w:val="28"/>
          <w:szCs w:val="28"/>
        </w:rPr>
        <w:t xml:space="preserve">penale </w:t>
      </w:r>
      <w:r w:rsidR="001A4334" w:rsidRPr="008967F0">
        <w:rPr>
          <w:sz w:val="28"/>
          <w:szCs w:val="28"/>
        </w:rPr>
        <w:t>della Corte di c</w:t>
      </w:r>
      <w:r w:rsidR="006B56A1" w:rsidRPr="008967F0">
        <w:rPr>
          <w:sz w:val="28"/>
          <w:szCs w:val="28"/>
        </w:rPr>
        <w:t>assazione</w:t>
      </w:r>
      <w:r w:rsidR="00332C5C">
        <w:rPr>
          <w:sz w:val="28"/>
          <w:szCs w:val="28"/>
        </w:rPr>
        <w:t>,</w:t>
      </w:r>
      <w:r w:rsidR="006B56A1" w:rsidRPr="008967F0">
        <w:rPr>
          <w:sz w:val="28"/>
          <w:szCs w:val="28"/>
        </w:rPr>
        <w:t xml:space="preserve"> </w:t>
      </w:r>
      <w:r w:rsidRPr="008967F0">
        <w:rPr>
          <w:sz w:val="28"/>
          <w:szCs w:val="28"/>
        </w:rPr>
        <w:t>con l’ordinanza 1418</w:t>
      </w:r>
      <w:r w:rsidR="00332C5C">
        <w:rPr>
          <w:sz w:val="28"/>
          <w:szCs w:val="28"/>
        </w:rPr>
        <w:t>,</w:t>
      </w:r>
      <w:r w:rsidRPr="008967F0">
        <w:rPr>
          <w:sz w:val="28"/>
          <w:szCs w:val="28"/>
        </w:rPr>
        <w:t xml:space="preserve"> </w:t>
      </w:r>
      <w:r w:rsidR="006B56A1" w:rsidRPr="008967F0">
        <w:rPr>
          <w:sz w:val="28"/>
          <w:szCs w:val="28"/>
        </w:rPr>
        <w:t>ha rimesso ai Gi</w:t>
      </w:r>
      <w:r w:rsidR="00332C5C">
        <w:rPr>
          <w:sz w:val="28"/>
          <w:szCs w:val="28"/>
        </w:rPr>
        <w:t>udici delle Leggi</w:t>
      </w:r>
      <w:r w:rsidR="006B56A1" w:rsidRPr="008967F0">
        <w:rPr>
          <w:sz w:val="28"/>
          <w:szCs w:val="28"/>
        </w:rPr>
        <w:t xml:space="preserve"> </w:t>
      </w:r>
      <w:r w:rsidR="001A4334" w:rsidRPr="008967F0">
        <w:rPr>
          <w:sz w:val="28"/>
          <w:szCs w:val="28"/>
        </w:rPr>
        <w:t>una questione di legittimità costituzionale inerente i</w:t>
      </w:r>
      <w:r w:rsidR="00C854E7" w:rsidRPr="008967F0">
        <w:rPr>
          <w:sz w:val="28"/>
          <w:szCs w:val="28"/>
        </w:rPr>
        <w:t>l trattamento sanzionatorio dei</w:t>
      </w:r>
      <w:r w:rsidR="001A4334" w:rsidRPr="008967F0">
        <w:rPr>
          <w:sz w:val="28"/>
          <w:szCs w:val="28"/>
        </w:rPr>
        <w:t xml:space="preserve"> reati di cui all’art. 73 DPR 309/90.</w:t>
      </w:r>
    </w:p>
    <w:p w14:paraId="24862195" w14:textId="77777777" w:rsidR="00CF0E77" w:rsidRPr="008967F0" w:rsidRDefault="00CF0E77" w:rsidP="008967F0">
      <w:pPr>
        <w:spacing w:line="240" w:lineRule="auto"/>
        <w:ind w:left="567" w:right="425"/>
        <w:contextualSpacing/>
        <w:jc w:val="both"/>
        <w:rPr>
          <w:sz w:val="28"/>
          <w:szCs w:val="28"/>
        </w:rPr>
      </w:pPr>
    </w:p>
    <w:p w14:paraId="48C3238D" w14:textId="77777777" w:rsidR="004F5504" w:rsidRPr="008967F0" w:rsidRDefault="001A4334" w:rsidP="008967F0">
      <w:pPr>
        <w:spacing w:line="240" w:lineRule="auto"/>
        <w:ind w:left="567" w:right="425"/>
        <w:contextualSpacing/>
        <w:jc w:val="both"/>
        <w:rPr>
          <w:sz w:val="28"/>
          <w:szCs w:val="28"/>
        </w:rPr>
      </w:pPr>
      <w:r w:rsidRPr="008967F0">
        <w:rPr>
          <w:sz w:val="28"/>
          <w:szCs w:val="28"/>
        </w:rPr>
        <w:t xml:space="preserve">Per una più agevole comprensione </w:t>
      </w:r>
      <w:r w:rsidR="00A53E2E" w:rsidRPr="008967F0">
        <w:rPr>
          <w:sz w:val="28"/>
          <w:szCs w:val="28"/>
        </w:rPr>
        <w:t xml:space="preserve">della </w:t>
      </w:r>
      <w:r w:rsidR="00A53E2E" w:rsidRPr="00EF1F0F">
        <w:rPr>
          <w:i/>
          <w:sz w:val="28"/>
          <w:szCs w:val="28"/>
        </w:rPr>
        <w:t>q</w:t>
      </w:r>
      <w:r w:rsidR="00A14806" w:rsidRPr="00EF1F0F">
        <w:rPr>
          <w:i/>
          <w:sz w:val="28"/>
          <w:szCs w:val="28"/>
        </w:rPr>
        <w:t>uaestio</w:t>
      </w:r>
      <w:r w:rsidR="00A53E2E" w:rsidRPr="00EF1F0F">
        <w:rPr>
          <w:i/>
          <w:sz w:val="28"/>
          <w:szCs w:val="28"/>
        </w:rPr>
        <w:t xml:space="preserve"> de qua</w:t>
      </w:r>
      <w:r w:rsidR="00A53E2E" w:rsidRPr="008967F0">
        <w:rPr>
          <w:sz w:val="28"/>
          <w:szCs w:val="28"/>
        </w:rPr>
        <w:t xml:space="preserve"> si riporta</w:t>
      </w:r>
      <w:r w:rsidR="004F5504" w:rsidRPr="008967F0">
        <w:rPr>
          <w:sz w:val="28"/>
          <w:szCs w:val="28"/>
        </w:rPr>
        <w:t>no</w:t>
      </w:r>
      <w:r w:rsidR="00A53E2E" w:rsidRPr="008967F0">
        <w:rPr>
          <w:sz w:val="28"/>
          <w:szCs w:val="28"/>
        </w:rPr>
        <w:t xml:space="preserve">, in breve, </w:t>
      </w:r>
      <w:r w:rsidR="004F5504" w:rsidRPr="008967F0">
        <w:rPr>
          <w:sz w:val="28"/>
          <w:szCs w:val="28"/>
        </w:rPr>
        <w:t>la sentenza 32/14 della Consulta</w:t>
      </w:r>
      <w:r w:rsidR="00CF0E77" w:rsidRPr="008967F0">
        <w:rPr>
          <w:sz w:val="28"/>
          <w:szCs w:val="28"/>
        </w:rPr>
        <w:t xml:space="preserve">, </w:t>
      </w:r>
      <w:r w:rsidR="00C75318" w:rsidRPr="008967F0">
        <w:rPr>
          <w:sz w:val="28"/>
          <w:szCs w:val="28"/>
        </w:rPr>
        <w:t>prodr</w:t>
      </w:r>
      <w:r w:rsidR="00CF0E77" w:rsidRPr="008967F0">
        <w:rPr>
          <w:sz w:val="28"/>
          <w:szCs w:val="28"/>
        </w:rPr>
        <w:t>omica all’ordinanza in commento,</w:t>
      </w:r>
      <w:r w:rsidR="00B4143E">
        <w:rPr>
          <w:sz w:val="28"/>
          <w:szCs w:val="28"/>
        </w:rPr>
        <w:t xml:space="preserve"> </w:t>
      </w:r>
      <w:r w:rsidR="004F5504" w:rsidRPr="008967F0">
        <w:rPr>
          <w:sz w:val="28"/>
          <w:szCs w:val="28"/>
        </w:rPr>
        <w:t xml:space="preserve">e </w:t>
      </w:r>
      <w:r w:rsidR="00895A54" w:rsidRPr="008967F0">
        <w:rPr>
          <w:sz w:val="28"/>
          <w:szCs w:val="28"/>
        </w:rPr>
        <w:t>la vicenda processuale che ha dato origine all’ordinanza di rimessione.</w:t>
      </w:r>
    </w:p>
    <w:p w14:paraId="0137AA93" w14:textId="77777777" w:rsidR="00CF0E77" w:rsidRPr="008967F0" w:rsidRDefault="00CF0E77" w:rsidP="008967F0">
      <w:pPr>
        <w:spacing w:line="240" w:lineRule="auto"/>
        <w:ind w:left="567" w:right="425"/>
        <w:contextualSpacing/>
        <w:jc w:val="both"/>
        <w:rPr>
          <w:sz w:val="28"/>
          <w:szCs w:val="28"/>
        </w:rPr>
      </w:pPr>
    </w:p>
    <w:p w14:paraId="4F976E6B" w14:textId="77777777" w:rsidR="004F5504" w:rsidRPr="008967F0" w:rsidRDefault="00990DC4" w:rsidP="008967F0">
      <w:pPr>
        <w:spacing w:line="240" w:lineRule="auto"/>
        <w:ind w:left="567" w:right="425"/>
        <w:contextualSpacing/>
        <w:jc w:val="both"/>
        <w:rPr>
          <w:sz w:val="28"/>
          <w:szCs w:val="28"/>
        </w:rPr>
      </w:pPr>
      <w:r w:rsidRPr="008967F0">
        <w:rPr>
          <w:sz w:val="28"/>
          <w:szCs w:val="28"/>
        </w:rPr>
        <w:t>Come noto, con la</w:t>
      </w:r>
      <w:r w:rsidR="004F5504" w:rsidRPr="008967F0">
        <w:rPr>
          <w:sz w:val="28"/>
          <w:szCs w:val="28"/>
        </w:rPr>
        <w:t xml:space="preserve"> sentenza</w:t>
      </w:r>
      <w:r w:rsidR="00572034">
        <w:rPr>
          <w:sz w:val="28"/>
          <w:szCs w:val="28"/>
        </w:rPr>
        <w:t xml:space="preserve"> </w:t>
      </w:r>
      <w:r w:rsidR="00895A54" w:rsidRPr="008967F0">
        <w:rPr>
          <w:sz w:val="28"/>
          <w:szCs w:val="28"/>
        </w:rPr>
        <w:t>32 del 2014</w:t>
      </w:r>
      <w:r w:rsidR="00572034" w:rsidRPr="00C335E1">
        <w:rPr>
          <w:sz w:val="28"/>
          <w:szCs w:val="28"/>
        </w:rPr>
        <w:t>,</w:t>
      </w:r>
      <w:r w:rsidR="00D9388C" w:rsidRPr="008967F0">
        <w:rPr>
          <w:sz w:val="28"/>
          <w:szCs w:val="28"/>
        </w:rPr>
        <w:t xml:space="preserve"> i Giudici delle Leggi </w:t>
      </w:r>
      <w:r w:rsidR="00895A54" w:rsidRPr="008967F0">
        <w:rPr>
          <w:sz w:val="28"/>
          <w:szCs w:val="28"/>
        </w:rPr>
        <w:t>dichiaravano</w:t>
      </w:r>
      <w:r w:rsidR="004F5504" w:rsidRPr="008967F0">
        <w:rPr>
          <w:sz w:val="28"/>
          <w:szCs w:val="28"/>
        </w:rPr>
        <w:t xml:space="preserve"> l’illegittimità costituzionale </w:t>
      </w:r>
      <w:r w:rsidR="00945C1C" w:rsidRPr="008967F0">
        <w:rPr>
          <w:sz w:val="28"/>
          <w:szCs w:val="28"/>
        </w:rPr>
        <w:t xml:space="preserve">-per un vizio di procedura nella formazione della legge- </w:t>
      </w:r>
      <w:r w:rsidR="004F5504" w:rsidRPr="008967F0">
        <w:rPr>
          <w:sz w:val="28"/>
          <w:szCs w:val="28"/>
        </w:rPr>
        <w:t>dell’art. 4 bis comma 1 D.L. 272/05</w:t>
      </w:r>
      <w:r w:rsidR="006A14C1" w:rsidRPr="008967F0">
        <w:rPr>
          <w:sz w:val="28"/>
          <w:szCs w:val="28"/>
        </w:rPr>
        <w:t>, convertito con L. 49/06,</w:t>
      </w:r>
      <w:r w:rsidR="00572034">
        <w:rPr>
          <w:sz w:val="28"/>
          <w:szCs w:val="28"/>
        </w:rPr>
        <w:t xml:space="preserve"> </w:t>
      </w:r>
      <w:r w:rsidR="006A14C1" w:rsidRPr="008967F0">
        <w:rPr>
          <w:sz w:val="28"/>
          <w:szCs w:val="28"/>
        </w:rPr>
        <w:t xml:space="preserve">che </w:t>
      </w:r>
      <w:r w:rsidR="00D9388C" w:rsidRPr="008967F0">
        <w:rPr>
          <w:sz w:val="28"/>
          <w:szCs w:val="28"/>
        </w:rPr>
        <w:t>aveva equiparato</w:t>
      </w:r>
      <w:r w:rsidR="00BD3400">
        <w:rPr>
          <w:sz w:val="28"/>
          <w:szCs w:val="28"/>
        </w:rPr>
        <w:t xml:space="preserve"> </w:t>
      </w:r>
      <w:r w:rsidR="00365546" w:rsidRPr="008967F0">
        <w:rPr>
          <w:sz w:val="28"/>
          <w:szCs w:val="28"/>
        </w:rPr>
        <w:t>a</w:t>
      </w:r>
      <w:r w:rsidR="00DB384F" w:rsidRPr="008967F0">
        <w:rPr>
          <w:sz w:val="28"/>
          <w:szCs w:val="28"/>
        </w:rPr>
        <w:t>i</w:t>
      </w:r>
      <w:r w:rsidR="00365546" w:rsidRPr="008967F0">
        <w:rPr>
          <w:sz w:val="28"/>
          <w:szCs w:val="28"/>
        </w:rPr>
        <w:t xml:space="preserve"> fini sanzionatori </w:t>
      </w:r>
      <w:r w:rsidR="006A14C1" w:rsidRPr="008967F0">
        <w:rPr>
          <w:sz w:val="28"/>
          <w:szCs w:val="28"/>
        </w:rPr>
        <w:t xml:space="preserve">le </w:t>
      </w:r>
      <w:r w:rsidR="00895A54" w:rsidRPr="008967F0">
        <w:rPr>
          <w:sz w:val="28"/>
          <w:szCs w:val="28"/>
        </w:rPr>
        <w:t>droghe pesanti e</w:t>
      </w:r>
      <w:r w:rsidR="00CF0E77" w:rsidRPr="008967F0">
        <w:rPr>
          <w:sz w:val="28"/>
          <w:szCs w:val="28"/>
        </w:rPr>
        <w:t xml:space="preserve"> quelle</w:t>
      </w:r>
      <w:r w:rsidR="00BD3400">
        <w:rPr>
          <w:sz w:val="28"/>
          <w:szCs w:val="28"/>
        </w:rPr>
        <w:t xml:space="preserve"> </w:t>
      </w:r>
      <w:r w:rsidR="00D9388C" w:rsidRPr="008967F0">
        <w:rPr>
          <w:sz w:val="28"/>
          <w:szCs w:val="28"/>
        </w:rPr>
        <w:t xml:space="preserve">leggere e, </w:t>
      </w:r>
      <w:r w:rsidR="00CF0E77" w:rsidRPr="00C335E1">
        <w:rPr>
          <w:sz w:val="28"/>
          <w:szCs w:val="28"/>
        </w:rPr>
        <w:t>per l’effetto</w:t>
      </w:r>
      <w:r w:rsidR="00D9388C" w:rsidRPr="008967F0">
        <w:rPr>
          <w:sz w:val="28"/>
          <w:szCs w:val="28"/>
        </w:rPr>
        <w:t>,</w:t>
      </w:r>
      <w:r w:rsidR="00572034">
        <w:rPr>
          <w:sz w:val="28"/>
          <w:szCs w:val="28"/>
        </w:rPr>
        <w:t xml:space="preserve"> </w:t>
      </w:r>
      <w:r w:rsidR="00C97564" w:rsidRPr="008967F0">
        <w:rPr>
          <w:sz w:val="28"/>
          <w:szCs w:val="28"/>
        </w:rPr>
        <w:t>veniva ripristinato</w:t>
      </w:r>
      <w:r w:rsidR="00572034">
        <w:rPr>
          <w:sz w:val="28"/>
          <w:szCs w:val="28"/>
        </w:rPr>
        <w:t xml:space="preserve"> </w:t>
      </w:r>
      <w:r w:rsidR="00F36145" w:rsidRPr="008967F0">
        <w:rPr>
          <w:sz w:val="28"/>
          <w:szCs w:val="28"/>
        </w:rPr>
        <w:t xml:space="preserve">l’originario trattamento sanzionatorio </w:t>
      </w:r>
      <w:r w:rsidR="00B444FE" w:rsidRPr="008967F0">
        <w:rPr>
          <w:sz w:val="28"/>
          <w:szCs w:val="28"/>
        </w:rPr>
        <w:t>previsto per i</w:t>
      </w:r>
      <w:r w:rsidR="00895A54" w:rsidRPr="008967F0">
        <w:rPr>
          <w:sz w:val="28"/>
          <w:szCs w:val="28"/>
        </w:rPr>
        <w:t xml:space="preserve"> reati </w:t>
      </w:r>
      <w:r w:rsidR="00CF0E77" w:rsidRPr="008967F0">
        <w:rPr>
          <w:sz w:val="28"/>
          <w:szCs w:val="28"/>
        </w:rPr>
        <w:t>di cui ai</w:t>
      </w:r>
      <w:r w:rsidR="00185C4F" w:rsidRPr="008967F0">
        <w:rPr>
          <w:sz w:val="28"/>
          <w:szCs w:val="28"/>
        </w:rPr>
        <w:t xml:space="preserve"> commi 1 e 4 dell’art. 73; </w:t>
      </w:r>
      <w:r w:rsidR="00F36145" w:rsidRPr="008967F0">
        <w:rPr>
          <w:sz w:val="28"/>
          <w:szCs w:val="28"/>
        </w:rPr>
        <w:t xml:space="preserve">in particolare, </w:t>
      </w:r>
      <w:r w:rsidR="00B620D2" w:rsidRPr="00B620D2">
        <w:rPr>
          <w:sz w:val="28"/>
          <w:szCs w:val="28"/>
        </w:rPr>
        <w:t>in ragione</w:t>
      </w:r>
      <w:r w:rsidR="00DF73F4" w:rsidRPr="008967F0">
        <w:rPr>
          <w:sz w:val="28"/>
          <w:szCs w:val="28"/>
        </w:rPr>
        <w:t xml:space="preserve"> della sentenza d’incostituzionalità, </w:t>
      </w:r>
      <w:r w:rsidR="00702B67" w:rsidRPr="008967F0">
        <w:rPr>
          <w:sz w:val="28"/>
          <w:szCs w:val="28"/>
        </w:rPr>
        <w:t>la cornice edittale</w:t>
      </w:r>
      <w:r w:rsidR="00185C4F" w:rsidRPr="008967F0">
        <w:rPr>
          <w:sz w:val="28"/>
          <w:szCs w:val="28"/>
        </w:rPr>
        <w:t xml:space="preserve"> per il reato di cui all’art. 73 comma primo DPR 309/90</w:t>
      </w:r>
      <w:r w:rsidR="000032B7" w:rsidRPr="008967F0">
        <w:rPr>
          <w:sz w:val="28"/>
          <w:szCs w:val="28"/>
        </w:rPr>
        <w:t>,</w:t>
      </w:r>
      <w:r w:rsidR="00572034">
        <w:rPr>
          <w:sz w:val="28"/>
          <w:szCs w:val="28"/>
        </w:rPr>
        <w:t xml:space="preserve"> </w:t>
      </w:r>
      <w:r w:rsidR="000032B7" w:rsidRPr="008967F0">
        <w:rPr>
          <w:sz w:val="28"/>
          <w:szCs w:val="28"/>
        </w:rPr>
        <w:t xml:space="preserve">che </w:t>
      </w:r>
      <w:r w:rsidR="00196486" w:rsidRPr="008967F0">
        <w:rPr>
          <w:sz w:val="28"/>
          <w:szCs w:val="28"/>
        </w:rPr>
        <w:t>sotto la vigenza della</w:t>
      </w:r>
      <w:r w:rsidR="008C4D0D" w:rsidRPr="008967F0">
        <w:rPr>
          <w:sz w:val="28"/>
          <w:szCs w:val="28"/>
        </w:rPr>
        <w:t xml:space="preserve"> L. 49/06 </w:t>
      </w:r>
      <w:r w:rsidR="00196486" w:rsidRPr="008967F0">
        <w:rPr>
          <w:sz w:val="28"/>
          <w:szCs w:val="28"/>
        </w:rPr>
        <w:t xml:space="preserve">era </w:t>
      </w:r>
      <w:r w:rsidR="0038183A" w:rsidRPr="008967F0">
        <w:rPr>
          <w:sz w:val="28"/>
          <w:szCs w:val="28"/>
        </w:rPr>
        <w:t xml:space="preserve">compresa </w:t>
      </w:r>
      <w:r w:rsidR="00DA3B10" w:rsidRPr="008967F0">
        <w:rPr>
          <w:sz w:val="28"/>
          <w:szCs w:val="28"/>
        </w:rPr>
        <w:t>tra</w:t>
      </w:r>
      <w:r w:rsidR="00572034">
        <w:rPr>
          <w:sz w:val="28"/>
          <w:szCs w:val="28"/>
        </w:rPr>
        <w:t xml:space="preserve"> </w:t>
      </w:r>
      <w:r w:rsidR="00196486" w:rsidRPr="008967F0">
        <w:rPr>
          <w:sz w:val="28"/>
          <w:szCs w:val="28"/>
        </w:rPr>
        <w:t>il</w:t>
      </w:r>
      <w:r w:rsidR="001C0CE7" w:rsidRPr="008967F0">
        <w:rPr>
          <w:sz w:val="28"/>
          <w:szCs w:val="28"/>
        </w:rPr>
        <w:t xml:space="preserve"> minimo di</w:t>
      </w:r>
      <w:r w:rsidR="00572034">
        <w:rPr>
          <w:sz w:val="28"/>
          <w:szCs w:val="28"/>
        </w:rPr>
        <w:t xml:space="preserve"> </w:t>
      </w:r>
      <w:r w:rsidR="0038183A" w:rsidRPr="008967F0">
        <w:rPr>
          <w:sz w:val="28"/>
          <w:szCs w:val="28"/>
        </w:rPr>
        <w:t xml:space="preserve">anni 6 </w:t>
      </w:r>
      <w:r w:rsidR="00196486" w:rsidRPr="008967F0">
        <w:rPr>
          <w:sz w:val="28"/>
          <w:szCs w:val="28"/>
        </w:rPr>
        <w:t>e</w:t>
      </w:r>
      <w:r w:rsidR="00572034">
        <w:rPr>
          <w:sz w:val="28"/>
          <w:szCs w:val="28"/>
        </w:rPr>
        <w:t xml:space="preserve"> </w:t>
      </w:r>
      <w:r w:rsidR="00196486" w:rsidRPr="008967F0">
        <w:rPr>
          <w:sz w:val="28"/>
          <w:szCs w:val="28"/>
        </w:rPr>
        <w:t>il</w:t>
      </w:r>
      <w:r w:rsidR="00572034">
        <w:rPr>
          <w:sz w:val="28"/>
          <w:szCs w:val="28"/>
        </w:rPr>
        <w:t xml:space="preserve"> </w:t>
      </w:r>
      <w:r w:rsidR="0038183A" w:rsidRPr="008967F0">
        <w:rPr>
          <w:sz w:val="28"/>
          <w:szCs w:val="28"/>
        </w:rPr>
        <w:t>massim</w:t>
      </w:r>
      <w:r w:rsidR="001C0CE7" w:rsidRPr="008967F0">
        <w:rPr>
          <w:sz w:val="28"/>
          <w:szCs w:val="28"/>
        </w:rPr>
        <w:t>o</w:t>
      </w:r>
      <w:r w:rsidR="0038183A" w:rsidRPr="008967F0">
        <w:rPr>
          <w:sz w:val="28"/>
          <w:szCs w:val="28"/>
        </w:rPr>
        <w:t xml:space="preserve"> di anni 20</w:t>
      </w:r>
      <w:r w:rsidR="002F6776" w:rsidRPr="008967F0">
        <w:rPr>
          <w:sz w:val="28"/>
          <w:szCs w:val="28"/>
        </w:rPr>
        <w:t xml:space="preserve"> di reclusione</w:t>
      </w:r>
      <w:r w:rsidR="0038183A" w:rsidRPr="008967F0">
        <w:rPr>
          <w:sz w:val="28"/>
          <w:szCs w:val="28"/>
        </w:rPr>
        <w:t>,</w:t>
      </w:r>
      <w:r w:rsidR="00EF1F0F">
        <w:rPr>
          <w:sz w:val="28"/>
          <w:szCs w:val="28"/>
        </w:rPr>
        <w:t xml:space="preserve"> </w:t>
      </w:r>
      <w:r w:rsidR="00870207" w:rsidRPr="008967F0">
        <w:rPr>
          <w:sz w:val="28"/>
          <w:szCs w:val="28"/>
        </w:rPr>
        <w:t xml:space="preserve">a oggi </w:t>
      </w:r>
      <w:r w:rsidR="005E0512" w:rsidRPr="008967F0">
        <w:rPr>
          <w:sz w:val="28"/>
          <w:szCs w:val="28"/>
        </w:rPr>
        <w:t>è fissata</w:t>
      </w:r>
      <w:r w:rsidR="00572034">
        <w:rPr>
          <w:sz w:val="28"/>
          <w:szCs w:val="28"/>
        </w:rPr>
        <w:t xml:space="preserve"> </w:t>
      </w:r>
      <w:r w:rsidR="005E0512" w:rsidRPr="008967F0">
        <w:rPr>
          <w:sz w:val="28"/>
          <w:szCs w:val="28"/>
        </w:rPr>
        <w:t>in una</w:t>
      </w:r>
      <w:r w:rsidR="00870207" w:rsidRPr="008967F0">
        <w:rPr>
          <w:sz w:val="28"/>
          <w:szCs w:val="28"/>
        </w:rPr>
        <w:t xml:space="preserve"> pena</w:t>
      </w:r>
      <w:r w:rsidR="00572034">
        <w:rPr>
          <w:sz w:val="28"/>
          <w:szCs w:val="28"/>
        </w:rPr>
        <w:t xml:space="preserve"> </w:t>
      </w:r>
      <w:r w:rsidR="001C0CE7" w:rsidRPr="008967F0">
        <w:rPr>
          <w:sz w:val="28"/>
          <w:szCs w:val="28"/>
        </w:rPr>
        <w:t>minim</w:t>
      </w:r>
      <w:r w:rsidR="00A34E5C" w:rsidRPr="008967F0">
        <w:rPr>
          <w:sz w:val="28"/>
          <w:szCs w:val="28"/>
        </w:rPr>
        <w:t>a</w:t>
      </w:r>
      <w:r w:rsidR="00572034">
        <w:rPr>
          <w:sz w:val="28"/>
          <w:szCs w:val="28"/>
        </w:rPr>
        <w:t xml:space="preserve"> </w:t>
      </w:r>
      <w:r w:rsidR="005E0512" w:rsidRPr="008967F0">
        <w:rPr>
          <w:sz w:val="28"/>
          <w:szCs w:val="28"/>
        </w:rPr>
        <w:t xml:space="preserve">di </w:t>
      </w:r>
      <w:r w:rsidR="0038183A" w:rsidRPr="008967F0">
        <w:rPr>
          <w:sz w:val="28"/>
          <w:szCs w:val="28"/>
        </w:rPr>
        <w:t>anni 8</w:t>
      </w:r>
      <w:r w:rsidR="00CF0E77" w:rsidRPr="008967F0">
        <w:rPr>
          <w:sz w:val="28"/>
          <w:szCs w:val="28"/>
        </w:rPr>
        <w:t xml:space="preserve">, </w:t>
      </w:r>
      <w:r w:rsidR="00870207" w:rsidRPr="008967F0">
        <w:rPr>
          <w:sz w:val="28"/>
          <w:szCs w:val="28"/>
        </w:rPr>
        <w:t>rimane</w:t>
      </w:r>
      <w:r w:rsidR="005E0512" w:rsidRPr="008967F0">
        <w:rPr>
          <w:sz w:val="28"/>
          <w:szCs w:val="28"/>
        </w:rPr>
        <w:t>ndo</w:t>
      </w:r>
      <w:r w:rsidR="00572034">
        <w:rPr>
          <w:sz w:val="28"/>
          <w:szCs w:val="28"/>
        </w:rPr>
        <w:t xml:space="preserve"> </w:t>
      </w:r>
      <w:r w:rsidR="00C33491" w:rsidRPr="008967F0">
        <w:rPr>
          <w:sz w:val="28"/>
          <w:szCs w:val="28"/>
        </w:rPr>
        <w:t>immutata</w:t>
      </w:r>
      <w:r w:rsidR="00870207" w:rsidRPr="008967F0">
        <w:rPr>
          <w:sz w:val="28"/>
          <w:szCs w:val="28"/>
        </w:rPr>
        <w:t xml:space="preserve"> la pena massima</w:t>
      </w:r>
      <w:r w:rsidR="0038183A" w:rsidRPr="008967F0">
        <w:rPr>
          <w:sz w:val="28"/>
          <w:szCs w:val="28"/>
        </w:rPr>
        <w:t>.</w:t>
      </w:r>
      <w:r w:rsidR="00572034">
        <w:rPr>
          <w:sz w:val="28"/>
          <w:szCs w:val="28"/>
        </w:rPr>
        <w:t xml:space="preserve"> </w:t>
      </w:r>
      <w:proofErr w:type="gramStart"/>
      <w:r w:rsidR="003D54F7" w:rsidRPr="008967F0">
        <w:rPr>
          <w:sz w:val="28"/>
          <w:szCs w:val="28"/>
        </w:rPr>
        <w:t>E’</w:t>
      </w:r>
      <w:proofErr w:type="gramEnd"/>
      <w:r w:rsidR="003D54F7" w:rsidRPr="008967F0">
        <w:rPr>
          <w:sz w:val="28"/>
          <w:szCs w:val="28"/>
        </w:rPr>
        <w:t xml:space="preserve"> evidente</w:t>
      </w:r>
      <w:r w:rsidR="001721A5" w:rsidRPr="008967F0">
        <w:rPr>
          <w:sz w:val="28"/>
          <w:szCs w:val="28"/>
        </w:rPr>
        <w:t>, dunque,</w:t>
      </w:r>
      <w:r w:rsidR="00383675" w:rsidRPr="008967F0">
        <w:rPr>
          <w:sz w:val="28"/>
          <w:szCs w:val="28"/>
        </w:rPr>
        <w:t xml:space="preserve"> che</w:t>
      </w:r>
      <w:r w:rsidR="003D54F7" w:rsidRPr="008967F0">
        <w:rPr>
          <w:sz w:val="28"/>
          <w:szCs w:val="28"/>
        </w:rPr>
        <w:t xml:space="preserve"> la sentenza </w:t>
      </w:r>
      <w:r w:rsidR="001721A5" w:rsidRPr="008967F0">
        <w:rPr>
          <w:sz w:val="28"/>
          <w:szCs w:val="28"/>
        </w:rPr>
        <w:t>della Consulta</w:t>
      </w:r>
      <w:r w:rsidR="00B4143E">
        <w:rPr>
          <w:sz w:val="28"/>
          <w:szCs w:val="28"/>
        </w:rPr>
        <w:t xml:space="preserve">       </w:t>
      </w:r>
      <w:r w:rsidR="00A14806" w:rsidRPr="008967F0">
        <w:rPr>
          <w:sz w:val="28"/>
          <w:szCs w:val="28"/>
        </w:rPr>
        <w:t>-per ciò che concerne le</w:t>
      </w:r>
      <w:r w:rsidR="0060560C" w:rsidRPr="008967F0">
        <w:rPr>
          <w:sz w:val="28"/>
          <w:szCs w:val="28"/>
        </w:rPr>
        <w:t xml:space="preserve"> pene detentive in materia di</w:t>
      </w:r>
      <w:r w:rsidR="00A14806" w:rsidRPr="008967F0">
        <w:rPr>
          <w:sz w:val="28"/>
          <w:szCs w:val="28"/>
        </w:rPr>
        <w:t xml:space="preserve"> droghe pesanti- </w:t>
      </w:r>
      <w:r w:rsidR="00481286" w:rsidRPr="008967F0">
        <w:rPr>
          <w:sz w:val="28"/>
          <w:szCs w:val="28"/>
        </w:rPr>
        <w:t>ha comportato la</w:t>
      </w:r>
      <w:r w:rsidR="00572034">
        <w:rPr>
          <w:sz w:val="28"/>
          <w:szCs w:val="28"/>
        </w:rPr>
        <w:t xml:space="preserve"> </w:t>
      </w:r>
      <w:r w:rsidR="003D54F7" w:rsidRPr="008967F0">
        <w:rPr>
          <w:sz w:val="28"/>
          <w:szCs w:val="28"/>
        </w:rPr>
        <w:t>reintrod</w:t>
      </w:r>
      <w:r w:rsidR="0061601E" w:rsidRPr="008967F0">
        <w:rPr>
          <w:sz w:val="28"/>
          <w:szCs w:val="28"/>
        </w:rPr>
        <w:t>u</w:t>
      </w:r>
      <w:r w:rsidR="002252FA" w:rsidRPr="008967F0">
        <w:rPr>
          <w:sz w:val="28"/>
          <w:szCs w:val="28"/>
        </w:rPr>
        <w:t>zione di</w:t>
      </w:r>
      <w:r w:rsidR="003D54F7" w:rsidRPr="008967F0">
        <w:rPr>
          <w:sz w:val="28"/>
          <w:szCs w:val="28"/>
        </w:rPr>
        <w:t xml:space="preserve"> una norma penale più severa</w:t>
      </w:r>
      <w:r w:rsidR="00481286" w:rsidRPr="008967F0">
        <w:rPr>
          <w:sz w:val="28"/>
          <w:szCs w:val="28"/>
        </w:rPr>
        <w:t xml:space="preserve"> (la cd </w:t>
      </w:r>
      <w:r w:rsidR="005E0512" w:rsidRPr="008967F0">
        <w:rPr>
          <w:sz w:val="28"/>
          <w:szCs w:val="28"/>
        </w:rPr>
        <w:t xml:space="preserve">Legge </w:t>
      </w:r>
      <w:r w:rsidR="00481286" w:rsidRPr="008967F0">
        <w:rPr>
          <w:sz w:val="28"/>
          <w:szCs w:val="28"/>
        </w:rPr>
        <w:t>Iervolino-Vassalli)</w:t>
      </w:r>
      <w:r w:rsidR="003D54F7" w:rsidRPr="008967F0">
        <w:rPr>
          <w:sz w:val="28"/>
          <w:szCs w:val="28"/>
        </w:rPr>
        <w:t xml:space="preserve"> rispetto a quella previgente</w:t>
      </w:r>
      <w:r w:rsidR="00481286" w:rsidRPr="008967F0">
        <w:rPr>
          <w:sz w:val="28"/>
          <w:szCs w:val="28"/>
        </w:rPr>
        <w:t xml:space="preserve"> (la cd </w:t>
      </w:r>
      <w:r w:rsidR="005E0512" w:rsidRPr="008967F0">
        <w:rPr>
          <w:sz w:val="28"/>
          <w:szCs w:val="28"/>
        </w:rPr>
        <w:t xml:space="preserve">Legge </w:t>
      </w:r>
      <w:r w:rsidR="00481286" w:rsidRPr="008967F0">
        <w:rPr>
          <w:sz w:val="28"/>
          <w:szCs w:val="28"/>
        </w:rPr>
        <w:t xml:space="preserve">Fini-Giovanardi), con </w:t>
      </w:r>
      <w:r w:rsidR="00697147" w:rsidRPr="008967F0">
        <w:rPr>
          <w:sz w:val="28"/>
          <w:szCs w:val="28"/>
        </w:rPr>
        <w:t>l’innalzamento</w:t>
      </w:r>
      <w:r w:rsidR="00481286" w:rsidRPr="008967F0">
        <w:rPr>
          <w:sz w:val="28"/>
          <w:szCs w:val="28"/>
        </w:rPr>
        <w:t xml:space="preserve"> del</w:t>
      </w:r>
      <w:r w:rsidR="00697147" w:rsidRPr="008967F0">
        <w:rPr>
          <w:sz w:val="28"/>
          <w:szCs w:val="28"/>
        </w:rPr>
        <w:t xml:space="preserve"> minimo edittale della </w:t>
      </w:r>
      <w:r w:rsidR="00481286" w:rsidRPr="008967F0">
        <w:rPr>
          <w:sz w:val="28"/>
          <w:szCs w:val="28"/>
        </w:rPr>
        <w:t xml:space="preserve">pena </w:t>
      </w:r>
      <w:r w:rsidR="00697147" w:rsidRPr="008967F0">
        <w:rPr>
          <w:sz w:val="28"/>
          <w:szCs w:val="28"/>
        </w:rPr>
        <w:t xml:space="preserve">detentiva da sei a otto </w:t>
      </w:r>
      <w:r w:rsidR="00481286" w:rsidRPr="008967F0">
        <w:rPr>
          <w:sz w:val="28"/>
          <w:szCs w:val="28"/>
        </w:rPr>
        <w:t>anni di reclusione.</w:t>
      </w:r>
    </w:p>
    <w:p w14:paraId="7F73CE5E" w14:textId="77777777" w:rsidR="00CF0E77" w:rsidRPr="008967F0" w:rsidRDefault="00CF0E77" w:rsidP="008967F0">
      <w:pPr>
        <w:spacing w:line="240" w:lineRule="auto"/>
        <w:ind w:left="567" w:right="425"/>
        <w:contextualSpacing/>
        <w:jc w:val="both"/>
        <w:rPr>
          <w:sz w:val="28"/>
          <w:szCs w:val="28"/>
        </w:rPr>
      </w:pPr>
    </w:p>
    <w:p w14:paraId="18C0ED1A" w14:textId="77777777" w:rsidR="00FA26BD" w:rsidRPr="008967F0" w:rsidRDefault="006A14C1" w:rsidP="008967F0">
      <w:pPr>
        <w:spacing w:line="240" w:lineRule="auto"/>
        <w:ind w:left="567" w:right="425"/>
        <w:contextualSpacing/>
        <w:jc w:val="both"/>
        <w:rPr>
          <w:sz w:val="28"/>
          <w:szCs w:val="28"/>
        </w:rPr>
      </w:pPr>
      <w:r w:rsidRPr="008967F0">
        <w:rPr>
          <w:sz w:val="28"/>
          <w:szCs w:val="28"/>
        </w:rPr>
        <w:t>Per ciò che concerne il caso dal quale prende le mosse l’</w:t>
      </w:r>
      <w:r w:rsidR="00E95E26" w:rsidRPr="008967F0">
        <w:rPr>
          <w:sz w:val="28"/>
          <w:szCs w:val="28"/>
        </w:rPr>
        <w:t>ordinanza di rimessione:</w:t>
      </w:r>
      <w:r w:rsidRPr="008967F0">
        <w:rPr>
          <w:sz w:val="28"/>
          <w:szCs w:val="28"/>
        </w:rPr>
        <w:t xml:space="preserve"> i</w:t>
      </w:r>
      <w:r w:rsidR="00B27BBE" w:rsidRPr="008967F0">
        <w:rPr>
          <w:sz w:val="28"/>
          <w:szCs w:val="28"/>
        </w:rPr>
        <w:t xml:space="preserve">l GUP di Imperia, in </w:t>
      </w:r>
      <w:r w:rsidR="00A53E2E" w:rsidRPr="008967F0">
        <w:rPr>
          <w:sz w:val="28"/>
          <w:szCs w:val="28"/>
        </w:rPr>
        <w:t>sede di giudizio abbreviato</w:t>
      </w:r>
      <w:r w:rsidR="00B27BBE" w:rsidRPr="008967F0">
        <w:rPr>
          <w:sz w:val="28"/>
          <w:szCs w:val="28"/>
        </w:rPr>
        <w:t xml:space="preserve">, </w:t>
      </w:r>
      <w:r w:rsidR="00A53E2E" w:rsidRPr="008967F0">
        <w:rPr>
          <w:sz w:val="28"/>
          <w:szCs w:val="28"/>
        </w:rPr>
        <w:t xml:space="preserve">previa riqualificazione del reato </w:t>
      </w:r>
      <w:r w:rsidR="00813244" w:rsidRPr="00EF1F0F">
        <w:rPr>
          <w:i/>
          <w:sz w:val="28"/>
          <w:szCs w:val="28"/>
        </w:rPr>
        <w:t>ab origine</w:t>
      </w:r>
      <w:r w:rsidR="00813244" w:rsidRPr="008967F0">
        <w:rPr>
          <w:sz w:val="28"/>
          <w:szCs w:val="28"/>
        </w:rPr>
        <w:t xml:space="preserve"> </w:t>
      </w:r>
      <w:r w:rsidR="00A53E2E" w:rsidRPr="008967F0">
        <w:rPr>
          <w:sz w:val="28"/>
          <w:szCs w:val="28"/>
        </w:rPr>
        <w:t>contestato nell</w:t>
      </w:r>
      <w:r w:rsidR="00813244" w:rsidRPr="008967F0">
        <w:rPr>
          <w:sz w:val="28"/>
          <w:szCs w:val="28"/>
        </w:rPr>
        <w:t>’ipotesi della cd lieve entità</w:t>
      </w:r>
      <w:r w:rsidR="00B27BBE" w:rsidRPr="008967F0">
        <w:rPr>
          <w:sz w:val="28"/>
          <w:szCs w:val="28"/>
        </w:rPr>
        <w:t>,</w:t>
      </w:r>
      <w:r w:rsidR="00A53E2E" w:rsidRPr="008967F0">
        <w:rPr>
          <w:sz w:val="28"/>
          <w:szCs w:val="28"/>
        </w:rPr>
        <w:t xml:space="preserve"> condannava l’imputato </w:t>
      </w:r>
      <w:r w:rsidR="00C854E7" w:rsidRPr="008967F0">
        <w:rPr>
          <w:sz w:val="28"/>
          <w:szCs w:val="28"/>
        </w:rPr>
        <w:t xml:space="preserve">in </w:t>
      </w:r>
      <w:r w:rsidR="00E95E26" w:rsidRPr="008967F0">
        <w:rPr>
          <w:sz w:val="28"/>
          <w:szCs w:val="28"/>
        </w:rPr>
        <w:t>ordine</w:t>
      </w:r>
      <w:r w:rsidR="00C854E7" w:rsidRPr="008967F0">
        <w:rPr>
          <w:sz w:val="28"/>
          <w:szCs w:val="28"/>
        </w:rPr>
        <w:t xml:space="preserve"> a due diverse condotte: la prima, di detenzione di 23 ovuli contenenti </w:t>
      </w:r>
      <w:proofErr w:type="gramStart"/>
      <w:r w:rsidR="00C854E7" w:rsidRPr="008967F0">
        <w:rPr>
          <w:sz w:val="28"/>
          <w:szCs w:val="28"/>
        </w:rPr>
        <w:t>eroina</w:t>
      </w:r>
      <w:r w:rsidR="00EF1F0F">
        <w:rPr>
          <w:sz w:val="28"/>
          <w:szCs w:val="28"/>
        </w:rPr>
        <w:t xml:space="preserve">; </w:t>
      </w:r>
      <w:r w:rsidR="00C335E1">
        <w:rPr>
          <w:color w:val="FF0000"/>
          <w:sz w:val="28"/>
          <w:szCs w:val="28"/>
        </w:rPr>
        <w:t xml:space="preserve"> </w:t>
      </w:r>
      <w:r w:rsidR="00C854E7" w:rsidRPr="008967F0">
        <w:rPr>
          <w:sz w:val="28"/>
          <w:szCs w:val="28"/>
        </w:rPr>
        <w:t>la</w:t>
      </w:r>
      <w:proofErr w:type="gramEnd"/>
      <w:r w:rsidR="00C854E7" w:rsidRPr="008967F0">
        <w:rPr>
          <w:sz w:val="28"/>
          <w:szCs w:val="28"/>
        </w:rPr>
        <w:t xml:space="preserve"> seconda, per la cessione di detto stupefacente, da due a quattro volte alla settimana, a due </w:t>
      </w:r>
      <w:r w:rsidR="00813244" w:rsidRPr="008967F0">
        <w:rPr>
          <w:sz w:val="28"/>
          <w:szCs w:val="28"/>
        </w:rPr>
        <w:t xml:space="preserve">differenti </w:t>
      </w:r>
      <w:r w:rsidR="00C854E7" w:rsidRPr="008967F0">
        <w:rPr>
          <w:sz w:val="28"/>
          <w:szCs w:val="28"/>
        </w:rPr>
        <w:t xml:space="preserve">soggetti. </w:t>
      </w:r>
      <w:r w:rsidR="006E77CD" w:rsidRPr="008967F0">
        <w:rPr>
          <w:sz w:val="28"/>
          <w:szCs w:val="28"/>
        </w:rPr>
        <w:t xml:space="preserve">Il Giudice di prime cure motivava la derubricazione in ragione dello scarso principio attivo contenuto nello stupefacente, </w:t>
      </w:r>
      <w:r w:rsidR="00145289" w:rsidRPr="008967F0">
        <w:rPr>
          <w:sz w:val="28"/>
          <w:szCs w:val="28"/>
        </w:rPr>
        <w:t>dei</w:t>
      </w:r>
      <w:r w:rsidR="006E77CD" w:rsidRPr="008967F0">
        <w:rPr>
          <w:sz w:val="28"/>
          <w:szCs w:val="28"/>
        </w:rPr>
        <w:t xml:space="preserve"> modesti ric</w:t>
      </w:r>
      <w:r w:rsidR="00145289" w:rsidRPr="008967F0">
        <w:rPr>
          <w:sz w:val="28"/>
          <w:szCs w:val="28"/>
        </w:rPr>
        <w:t>avi conseguiti</w:t>
      </w:r>
      <w:r w:rsidR="006C10F0" w:rsidRPr="008967F0">
        <w:rPr>
          <w:sz w:val="28"/>
          <w:szCs w:val="28"/>
        </w:rPr>
        <w:t xml:space="preserve"> dall’imputato</w:t>
      </w:r>
      <w:r w:rsidR="00145289" w:rsidRPr="008967F0">
        <w:rPr>
          <w:sz w:val="28"/>
          <w:szCs w:val="28"/>
        </w:rPr>
        <w:t>, d</w:t>
      </w:r>
      <w:r w:rsidR="00255CD8" w:rsidRPr="008967F0">
        <w:rPr>
          <w:sz w:val="28"/>
          <w:szCs w:val="28"/>
        </w:rPr>
        <w:t>e</w:t>
      </w:r>
      <w:r w:rsidR="00145289" w:rsidRPr="008967F0">
        <w:rPr>
          <w:sz w:val="28"/>
          <w:szCs w:val="28"/>
        </w:rPr>
        <w:t>l</w:t>
      </w:r>
      <w:r w:rsidR="006E77CD" w:rsidRPr="008967F0">
        <w:rPr>
          <w:sz w:val="28"/>
          <w:szCs w:val="28"/>
        </w:rPr>
        <w:t xml:space="preserve"> </w:t>
      </w:r>
      <w:r w:rsidR="006E77CD" w:rsidRPr="008967F0">
        <w:rPr>
          <w:sz w:val="28"/>
          <w:szCs w:val="28"/>
        </w:rPr>
        <w:lastRenderedPageBreak/>
        <w:t xml:space="preserve">ridotto numero di dosi singole e </w:t>
      </w:r>
      <w:r w:rsidR="00145289" w:rsidRPr="008967F0">
        <w:rPr>
          <w:sz w:val="28"/>
          <w:szCs w:val="28"/>
        </w:rPr>
        <w:t>della</w:t>
      </w:r>
      <w:r w:rsidR="006E77CD" w:rsidRPr="008967F0">
        <w:rPr>
          <w:sz w:val="28"/>
          <w:szCs w:val="28"/>
        </w:rPr>
        <w:t xml:space="preserve"> mancanza di elementi </w:t>
      </w:r>
      <w:r w:rsidR="006C10F0" w:rsidRPr="008967F0">
        <w:rPr>
          <w:sz w:val="28"/>
          <w:szCs w:val="28"/>
        </w:rPr>
        <w:t>ultronei dai quali desumere un’</w:t>
      </w:r>
      <w:r w:rsidR="006E77CD" w:rsidRPr="008967F0">
        <w:rPr>
          <w:sz w:val="28"/>
          <w:szCs w:val="28"/>
        </w:rPr>
        <w:t xml:space="preserve">abitualità </w:t>
      </w:r>
      <w:r w:rsidR="000E6EEB" w:rsidRPr="008967F0">
        <w:rPr>
          <w:sz w:val="28"/>
          <w:szCs w:val="28"/>
        </w:rPr>
        <w:t xml:space="preserve">dell’imputato </w:t>
      </w:r>
      <w:r w:rsidR="006E77CD" w:rsidRPr="008967F0">
        <w:rPr>
          <w:sz w:val="28"/>
          <w:szCs w:val="28"/>
        </w:rPr>
        <w:t>nel reato.</w:t>
      </w:r>
    </w:p>
    <w:p w14:paraId="3C54C926" w14:textId="77777777" w:rsidR="00CF0E77" w:rsidRPr="008967F0" w:rsidRDefault="00CF0E77" w:rsidP="008967F0">
      <w:pPr>
        <w:spacing w:line="240" w:lineRule="auto"/>
        <w:ind w:left="567" w:right="425"/>
        <w:contextualSpacing/>
        <w:jc w:val="both"/>
        <w:rPr>
          <w:sz w:val="28"/>
          <w:szCs w:val="28"/>
        </w:rPr>
      </w:pPr>
    </w:p>
    <w:p w14:paraId="1BB59451" w14:textId="77777777" w:rsidR="007D2EE9" w:rsidRPr="008967F0" w:rsidRDefault="00C335E1" w:rsidP="008967F0">
      <w:pPr>
        <w:spacing w:line="240" w:lineRule="auto"/>
        <w:ind w:left="567" w:right="425"/>
        <w:contextualSpacing/>
        <w:jc w:val="both"/>
        <w:rPr>
          <w:sz w:val="28"/>
          <w:szCs w:val="28"/>
        </w:rPr>
      </w:pPr>
      <w:r w:rsidRPr="00C335E1">
        <w:rPr>
          <w:sz w:val="28"/>
          <w:szCs w:val="28"/>
        </w:rPr>
        <w:t>Proponeva ricorso per</w:t>
      </w:r>
      <w:r w:rsidR="00CD146D" w:rsidRPr="00C335E1">
        <w:rPr>
          <w:sz w:val="28"/>
          <w:szCs w:val="28"/>
        </w:rPr>
        <w:t xml:space="preserve"> cassazione il </w:t>
      </w:r>
      <w:r w:rsidRPr="00C335E1">
        <w:rPr>
          <w:sz w:val="28"/>
          <w:szCs w:val="28"/>
        </w:rPr>
        <w:t>Procuratore</w:t>
      </w:r>
      <w:r w:rsidR="002A42BD" w:rsidRPr="00C335E1">
        <w:rPr>
          <w:sz w:val="28"/>
          <w:szCs w:val="28"/>
        </w:rPr>
        <w:t xml:space="preserve"> presso i</w:t>
      </w:r>
      <w:r w:rsidR="00EB14ED" w:rsidRPr="00C335E1">
        <w:rPr>
          <w:sz w:val="28"/>
          <w:szCs w:val="28"/>
        </w:rPr>
        <w:t>l Tribunale di Imperia</w:t>
      </w:r>
      <w:r w:rsidR="00572034" w:rsidRPr="00C335E1">
        <w:rPr>
          <w:sz w:val="28"/>
          <w:szCs w:val="28"/>
        </w:rPr>
        <w:t>,</w:t>
      </w:r>
      <w:r w:rsidR="00EB14ED" w:rsidRPr="008967F0">
        <w:rPr>
          <w:sz w:val="28"/>
          <w:szCs w:val="28"/>
        </w:rPr>
        <w:t xml:space="preserve"> </w:t>
      </w:r>
      <w:r w:rsidR="00961298" w:rsidRPr="008967F0">
        <w:rPr>
          <w:sz w:val="28"/>
          <w:szCs w:val="28"/>
        </w:rPr>
        <w:t>il quale lamentava</w:t>
      </w:r>
      <w:r w:rsidR="002A42BD" w:rsidRPr="008967F0">
        <w:rPr>
          <w:sz w:val="28"/>
          <w:szCs w:val="28"/>
        </w:rPr>
        <w:t xml:space="preserve"> l’erronea applicazione </w:t>
      </w:r>
      <w:r w:rsidR="00EB14ED" w:rsidRPr="008967F0">
        <w:rPr>
          <w:sz w:val="28"/>
          <w:szCs w:val="28"/>
        </w:rPr>
        <w:t>dell’art. 73 comma 5 DPR 309/90</w:t>
      </w:r>
      <w:r w:rsidR="00DA032F" w:rsidRPr="008967F0">
        <w:rPr>
          <w:sz w:val="28"/>
          <w:szCs w:val="28"/>
        </w:rPr>
        <w:t>, ritenendo</w:t>
      </w:r>
      <w:r w:rsidR="00572034">
        <w:rPr>
          <w:sz w:val="28"/>
          <w:szCs w:val="28"/>
        </w:rPr>
        <w:t xml:space="preserve"> </w:t>
      </w:r>
      <w:r w:rsidR="004D10E5" w:rsidRPr="008967F0">
        <w:rPr>
          <w:sz w:val="28"/>
          <w:szCs w:val="28"/>
        </w:rPr>
        <w:t xml:space="preserve">ricorrenti i </w:t>
      </w:r>
      <w:r w:rsidR="002A42BD" w:rsidRPr="008967F0">
        <w:rPr>
          <w:sz w:val="28"/>
          <w:szCs w:val="28"/>
        </w:rPr>
        <w:t xml:space="preserve">presupposti per l’applicazione </w:t>
      </w:r>
      <w:r w:rsidR="00DC2F84" w:rsidRPr="008967F0">
        <w:rPr>
          <w:sz w:val="28"/>
          <w:szCs w:val="28"/>
        </w:rPr>
        <w:t>dell’ipotesi di</w:t>
      </w:r>
      <w:r w:rsidR="00CE79E4" w:rsidRPr="008967F0">
        <w:rPr>
          <w:sz w:val="28"/>
          <w:szCs w:val="28"/>
        </w:rPr>
        <w:t xml:space="preserve"> reato di</w:t>
      </w:r>
      <w:r w:rsidR="00DC2F84" w:rsidRPr="008967F0">
        <w:rPr>
          <w:sz w:val="28"/>
          <w:szCs w:val="28"/>
        </w:rPr>
        <w:t xml:space="preserve"> cui al </w:t>
      </w:r>
      <w:r w:rsidR="00022D03" w:rsidRPr="008967F0">
        <w:rPr>
          <w:sz w:val="28"/>
          <w:szCs w:val="28"/>
        </w:rPr>
        <w:t>primo comma del cit. art. 73</w:t>
      </w:r>
      <w:r w:rsidR="00961298" w:rsidRPr="008967F0">
        <w:rPr>
          <w:sz w:val="28"/>
          <w:szCs w:val="28"/>
        </w:rPr>
        <w:t>, in considerazione de</w:t>
      </w:r>
      <w:r w:rsidR="004D10E5" w:rsidRPr="008967F0">
        <w:rPr>
          <w:sz w:val="28"/>
          <w:szCs w:val="28"/>
        </w:rPr>
        <w:t xml:space="preserve">l </w:t>
      </w:r>
      <w:r w:rsidR="002A42BD" w:rsidRPr="008967F0">
        <w:rPr>
          <w:sz w:val="28"/>
          <w:szCs w:val="28"/>
        </w:rPr>
        <w:t>rilevante dato po</w:t>
      </w:r>
      <w:r w:rsidR="000E6EEB" w:rsidRPr="008967F0">
        <w:rPr>
          <w:sz w:val="28"/>
          <w:szCs w:val="28"/>
        </w:rPr>
        <w:t>nderale della sostanza detenuta</w:t>
      </w:r>
      <w:r w:rsidR="00305F4F" w:rsidRPr="008967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61298" w:rsidRPr="008967F0">
        <w:rPr>
          <w:sz w:val="28"/>
          <w:szCs w:val="28"/>
        </w:rPr>
        <w:t>del</w:t>
      </w:r>
      <w:r w:rsidR="00572034">
        <w:rPr>
          <w:sz w:val="28"/>
          <w:szCs w:val="28"/>
        </w:rPr>
        <w:t xml:space="preserve"> </w:t>
      </w:r>
      <w:r w:rsidR="000E6EEB" w:rsidRPr="008967F0">
        <w:rPr>
          <w:sz w:val="28"/>
          <w:szCs w:val="28"/>
        </w:rPr>
        <w:t xml:space="preserve">suo </w:t>
      </w:r>
      <w:r w:rsidR="002A42BD" w:rsidRPr="008967F0">
        <w:rPr>
          <w:sz w:val="28"/>
          <w:szCs w:val="28"/>
        </w:rPr>
        <w:t>grad</w:t>
      </w:r>
      <w:r w:rsidR="000E6EEB" w:rsidRPr="008967F0">
        <w:rPr>
          <w:sz w:val="28"/>
          <w:szCs w:val="28"/>
        </w:rPr>
        <w:t>o di purezza</w:t>
      </w:r>
      <w:r w:rsidR="00A133EB" w:rsidRPr="008967F0">
        <w:rPr>
          <w:sz w:val="28"/>
          <w:szCs w:val="28"/>
        </w:rPr>
        <w:t xml:space="preserve">, </w:t>
      </w:r>
      <w:r w:rsidR="00961298" w:rsidRPr="008967F0">
        <w:rPr>
          <w:sz w:val="28"/>
          <w:szCs w:val="28"/>
        </w:rPr>
        <w:t>de</w:t>
      </w:r>
      <w:r w:rsidR="0013023C" w:rsidRPr="008967F0">
        <w:rPr>
          <w:sz w:val="28"/>
          <w:szCs w:val="28"/>
        </w:rPr>
        <w:t>l</w:t>
      </w:r>
      <w:r w:rsidR="00572034">
        <w:rPr>
          <w:sz w:val="28"/>
          <w:szCs w:val="28"/>
        </w:rPr>
        <w:t xml:space="preserve"> </w:t>
      </w:r>
      <w:r w:rsidR="00A133EB" w:rsidRPr="008967F0">
        <w:rPr>
          <w:sz w:val="28"/>
          <w:szCs w:val="28"/>
        </w:rPr>
        <w:t>cospicuo</w:t>
      </w:r>
      <w:r w:rsidR="00572034">
        <w:rPr>
          <w:sz w:val="28"/>
          <w:szCs w:val="28"/>
        </w:rPr>
        <w:t xml:space="preserve"> </w:t>
      </w:r>
      <w:r w:rsidR="00022D03" w:rsidRPr="008967F0">
        <w:rPr>
          <w:sz w:val="28"/>
          <w:szCs w:val="28"/>
        </w:rPr>
        <w:t xml:space="preserve">lasso di tempo in cui si </w:t>
      </w:r>
      <w:r w:rsidR="00CE79E4" w:rsidRPr="008967F0">
        <w:rPr>
          <w:sz w:val="28"/>
          <w:szCs w:val="28"/>
        </w:rPr>
        <w:t>erano</w:t>
      </w:r>
      <w:r w:rsidR="00022D03" w:rsidRPr="008967F0">
        <w:rPr>
          <w:sz w:val="28"/>
          <w:szCs w:val="28"/>
        </w:rPr>
        <w:t xml:space="preserve"> sviluppate</w:t>
      </w:r>
      <w:r w:rsidR="002A42BD" w:rsidRPr="008967F0">
        <w:rPr>
          <w:sz w:val="28"/>
          <w:szCs w:val="28"/>
        </w:rPr>
        <w:t xml:space="preserve"> le condo</w:t>
      </w:r>
      <w:r w:rsidR="00022D03" w:rsidRPr="008967F0">
        <w:rPr>
          <w:sz w:val="28"/>
          <w:szCs w:val="28"/>
        </w:rPr>
        <w:t>tte ill</w:t>
      </w:r>
      <w:r w:rsidR="0013023C" w:rsidRPr="008967F0">
        <w:rPr>
          <w:sz w:val="28"/>
          <w:szCs w:val="28"/>
        </w:rPr>
        <w:t xml:space="preserve">ecite (almeno otto mesi) e </w:t>
      </w:r>
      <w:r w:rsidR="00961298" w:rsidRPr="008967F0">
        <w:rPr>
          <w:sz w:val="28"/>
          <w:szCs w:val="28"/>
        </w:rPr>
        <w:t>del</w:t>
      </w:r>
      <w:r w:rsidR="0013023C" w:rsidRPr="008967F0">
        <w:rPr>
          <w:sz w:val="28"/>
          <w:szCs w:val="28"/>
        </w:rPr>
        <w:t>la</w:t>
      </w:r>
      <w:r w:rsidR="00022D03" w:rsidRPr="008967F0">
        <w:rPr>
          <w:sz w:val="28"/>
          <w:szCs w:val="28"/>
        </w:rPr>
        <w:t xml:space="preserve"> frequenza</w:t>
      </w:r>
      <w:r w:rsidR="002A42BD" w:rsidRPr="008967F0">
        <w:rPr>
          <w:sz w:val="28"/>
          <w:szCs w:val="28"/>
        </w:rPr>
        <w:t xml:space="preserve"> ravvicinata delle cessioni ai due acquirenti.</w:t>
      </w:r>
    </w:p>
    <w:p w14:paraId="2007B547" w14:textId="77777777" w:rsidR="00CF0E77" w:rsidRPr="008967F0" w:rsidRDefault="00CF0E77" w:rsidP="008967F0">
      <w:pPr>
        <w:spacing w:line="240" w:lineRule="auto"/>
        <w:ind w:left="567" w:right="425"/>
        <w:contextualSpacing/>
        <w:jc w:val="both"/>
        <w:rPr>
          <w:sz w:val="28"/>
          <w:szCs w:val="28"/>
        </w:rPr>
      </w:pPr>
    </w:p>
    <w:p w14:paraId="62C23411" w14:textId="77777777" w:rsidR="002C1484" w:rsidRPr="008967F0" w:rsidRDefault="004D3665" w:rsidP="008967F0">
      <w:pPr>
        <w:spacing w:line="240" w:lineRule="auto"/>
        <w:ind w:left="567" w:right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="00CE79E4" w:rsidRPr="008967F0">
        <w:rPr>
          <w:sz w:val="28"/>
          <w:szCs w:val="28"/>
        </w:rPr>
        <w:t>Corte</w:t>
      </w:r>
      <w:r w:rsidRPr="004D3665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8967F0">
        <w:rPr>
          <w:sz w:val="28"/>
          <w:szCs w:val="28"/>
        </w:rPr>
        <w:t>uprema</w:t>
      </w:r>
      <w:r w:rsidR="00CE79E4" w:rsidRPr="008967F0">
        <w:rPr>
          <w:sz w:val="28"/>
          <w:szCs w:val="28"/>
        </w:rPr>
        <w:t xml:space="preserve">, accogliendo </w:t>
      </w:r>
      <w:r w:rsidR="00DC2F84" w:rsidRPr="008967F0">
        <w:rPr>
          <w:sz w:val="28"/>
          <w:szCs w:val="28"/>
        </w:rPr>
        <w:t xml:space="preserve">le censure </w:t>
      </w:r>
      <w:r w:rsidR="002C1484" w:rsidRPr="008967F0">
        <w:rPr>
          <w:sz w:val="28"/>
          <w:szCs w:val="28"/>
        </w:rPr>
        <w:t xml:space="preserve">mosse </w:t>
      </w:r>
      <w:r w:rsidR="00DC2F84" w:rsidRPr="008967F0">
        <w:rPr>
          <w:sz w:val="28"/>
          <w:szCs w:val="28"/>
        </w:rPr>
        <w:t>d</w:t>
      </w:r>
      <w:r w:rsidR="002C1484" w:rsidRPr="008967F0">
        <w:rPr>
          <w:sz w:val="28"/>
          <w:szCs w:val="28"/>
        </w:rPr>
        <w:t>a</w:t>
      </w:r>
      <w:r w:rsidR="00DC2F84" w:rsidRPr="008967F0">
        <w:rPr>
          <w:sz w:val="28"/>
          <w:szCs w:val="28"/>
        </w:rPr>
        <w:t>lla pubblica accusa</w:t>
      </w:r>
      <w:r w:rsidR="00F54F5A" w:rsidRPr="008967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E79E4" w:rsidRPr="008967F0">
        <w:rPr>
          <w:sz w:val="28"/>
          <w:szCs w:val="28"/>
        </w:rPr>
        <w:t xml:space="preserve">riteneva </w:t>
      </w:r>
      <w:r w:rsidR="00831E0E" w:rsidRPr="008967F0">
        <w:rPr>
          <w:sz w:val="28"/>
          <w:szCs w:val="28"/>
        </w:rPr>
        <w:t>sussistente</w:t>
      </w:r>
      <w:r w:rsidR="00572034">
        <w:rPr>
          <w:sz w:val="28"/>
          <w:szCs w:val="28"/>
        </w:rPr>
        <w:t xml:space="preserve"> </w:t>
      </w:r>
      <w:r w:rsidR="00743C49" w:rsidRPr="008967F0">
        <w:rPr>
          <w:sz w:val="28"/>
          <w:szCs w:val="28"/>
        </w:rPr>
        <w:t>l’ipotes</w:t>
      </w:r>
      <w:r w:rsidR="00C13F88" w:rsidRPr="008967F0">
        <w:rPr>
          <w:sz w:val="28"/>
          <w:szCs w:val="28"/>
        </w:rPr>
        <w:t>i di c</w:t>
      </w:r>
      <w:r w:rsidR="0003453D" w:rsidRPr="008967F0">
        <w:rPr>
          <w:sz w:val="28"/>
          <w:szCs w:val="28"/>
        </w:rPr>
        <w:t>ui al comma primo dell’art. 73</w:t>
      </w:r>
      <w:r w:rsidR="00572034" w:rsidRPr="00C335E1">
        <w:rPr>
          <w:sz w:val="28"/>
          <w:szCs w:val="28"/>
        </w:rPr>
        <w:t>,</w:t>
      </w:r>
      <w:r w:rsidR="0003453D" w:rsidRPr="00572034">
        <w:rPr>
          <w:color w:val="FF0000"/>
          <w:sz w:val="28"/>
          <w:szCs w:val="28"/>
        </w:rPr>
        <w:t xml:space="preserve"> </w:t>
      </w:r>
      <w:r w:rsidR="0003453D" w:rsidRPr="008967F0">
        <w:rPr>
          <w:sz w:val="28"/>
          <w:szCs w:val="28"/>
        </w:rPr>
        <w:t>ma</w:t>
      </w:r>
      <w:r w:rsidR="00572034">
        <w:rPr>
          <w:sz w:val="28"/>
          <w:szCs w:val="28"/>
        </w:rPr>
        <w:t xml:space="preserve"> </w:t>
      </w:r>
      <w:r w:rsidR="00F56D68" w:rsidRPr="008967F0">
        <w:rPr>
          <w:sz w:val="28"/>
          <w:szCs w:val="28"/>
        </w:rPr>
        <w:t>sosteneva</w:t>
      </w:r>
      <w:r w:rsidR="00C64253" w:rsidRPr="008967F0">
        <w:rPr>
          <w:sz w:val="28"/>
          <w:szCs w:val="28"/>
        </w:rPr>
        <w:t xml:space="preserve"> che</w:t>
      </w:r>
      <w:r w:rsidR="00572034">
        <w:rPr>
          <w:sz w:val="28"/>
          <w:szCs w:val="28"/>
        </w:rPr>
        <w:t xml:space="preserve"> </w:t>
      </w:r>
      <w:r w:rsidR="000E6EEB" w:rsidRPr="008967F0">
        <w:rPr>
          <w:sz w:val="28"/>
          <w:szCs w:val="28"/>
        </w:rPr>
        <w:t xml:space="preserve">i fatti-reato </w:t>
      </w:r>
      <w:r w:rsidR="0003453D" w:rsidRPr="008967F0">
        <w:rPr>
          <w:sz w:val="28"/>
          <w:szCs w:val="28"/>
        </w:rPr>
        <w:t>si connot</w:t>
      </w:r>
      <w:r w:rsidR="007D2EE9" w:rsidRPr="008967F0">
        <w:rPr>
          <w:sz w:val="28"/>
          <w:szCs w:val="28"/>
        </w:rPr>
        <w:t>assero</w:t>
      </w:r>
      <w:r w:rsidR="0003453D" w:rsidRPr="008967F0">
        <w:rPr>
          <w:sz w:val="28"/>
          <w:szCs w:val="28"/>
        </w:rPr>
        <w:t xml:space="preserve"> per</w:t>
      </w:r>
      <w:r w:rsidR="00572034">
        <w:rPr>
          <w:sz w:val="28"/>
          <w:szCs w:val="28"/>
        </w:rPr>
        <w:t xml:space="preserve"> </w:t>
      </w:r>
      <w:r w:rsidR="0003453D" w:rsidRPr="008967F0">
        <w:rPr>
          <w:sz w:val="28"/>
          <w:szCs w:val="28"/>
        </w:rPr>
        <w:t xml:space="preserve">la </w:t>
      </w:r>
      <w:r w:rsidR="00F15F98" w:rsidRPr="008967F0">
        <w:rPr>
          <w:sz w:val="28"/>
          <w:szCs w:val="28"/>
        </w:rPr>
        <w:t>non particolare gravità</w:t>
      </w:r>
      <w:r w:rsidR="00C64253" w:rsidRPr="008967F0">
        <w:rPr>
          <w:sz w:val="28"/>
          <w:szCs w:val="28"/>
        </w:rPr>
        <w:t>,</w:t>
      </w:r>
      <w:r w:rsidR="00255CD8" w:rsidRPr="008967F0">
        <w:rPr>
          <w:sz w:val="28"/>
          <w:szCs w:val="28"/>
        </w:rPr>
        <w:t xml:space="preserve"> al punto tale da essere</w:t>
      </w:r>
      <w:r w:rsidR="00572034">
        <w:rPr>
          <w:sz w:val="28"/>
          <w:szCs w:val="28"/>
        </w:rPr>
        <w:t xml:space="preserve"> </w:t>
      </w:r>
      <w:r w:rsidR="00CE79E4" w:rsidRPr="008967F0">
        <w:rPr>
          <w:sz w:val="28"/>
          <w:szCs w:val="28"/>
        </w:rPr>
        <w:t>meritevoli di</w:t>
      </w:r>
      <w:r w:rsidR="000E6EEB" w:rsidRPr="008967F0">
        <w:rPr>
          <w:sz w:val="28"/>
          <w:szCs w:val="28"/>
        </w:rPr>
        <w:t xml:space="preserve"> un trattamento sanzionatorio prossimo al m</w:t>
      </w:r>
      <w:r w:rsidR="00973094" w:rsidRPr="008967F0">
        <w:rPr>
          <w:sz w:val="28"/>
          <w:szCs w:val="28"/>
        </w:rPr>
        <w:t>inimo edittale</w:t>
      </w:r>
      <w:r w:rsidR="00357F6C" w:rsidRPr="008967F0">
        <w:rPr>
          <w:sz w:val="28"/>
          <w:szCs w:val="28"/>
        </w:rPr>
        <w:t xml:space="preserve"> e</w:t>
      </w:r>
      <w:r w:rsidR="0003453D" w:rsidRPr="008967F0">
        <w:rPr>
          <w:sz w:val="28"/>
          <w:szCs w:val="28"/>
        </w:rPr>
        <w:t>,</w:t>
      </w:r>
      <w:r w:rsidR="00357F6C" w:rsidRPr="008967F0">
        <w:rPr>
          <w:sz w:val="28"/>
          <w:szCs w:val="28"/>
        </w:rPr>
        <w:t xml:space="preserve"> i</w:t>
      </w:r>
      <w:r w:rsidR="00831E0E" w:rsidRPr="008967F0">
        <w:rPr>
          <w:sz w:val="28"/>
          <w:szCs w:val="28"/>
        </w:rPr>
        <w:t xml:space="preserve">n considerazione di </w:t>
      </w:r>
      <w:r w:rsidR="00E14044" w:rsidRPr="008967F0">
        <w:rPr>
          <w:sz w:val="28"/>
          <w:szCs w:val="28"/>
        </w:rPr>
        <w:t>detto</w:t>
      </w:r>
      <w:r w:rsidR="00831E0E" w:rsidRPr="008967F0">
        <w:rPr>
          <w:sz w:val="28"/>
          <w:szCs w:val="28"/>
        </w:rPr>
        <w:t xml:space="preserve"> assunto</w:t>
      </w:r>
      <w:r w:rsidR="00357F6C" w:rsidRPr="008967F0">
        <w:rPr>
          <w:sz w:val="28"/>
          <w:szCs w:val="28"/>
        </w:rPr>
        <w:t xml:space="preserve"> finale</w:t>
      </w:r>
      <w:r w:rsidR="0003453D" w:rsidRPr="008967F0">
        <w:rPr>
          <w:sz w:val="28"/>
          <w:szCs w:val="28"/>
        </w:rPr>
        <w:t>,</w:t>
      </w:r>
      <w:r w:rsidR="00332C5C">
        <w:rPr>
          <w:sz w:val="28"/>
          <w:szCs w:val="28"/>
        </w:rPr>
        <w:t xml:space="preserve"> </w:t>
      </w:r>
      <w:r w:rsidR="00973094" w:rsidRPr="008967F0">
        <w:rPr>
          <w:sz w:val="28"/>
          <w:szCs w:val="28"/>
        </w:rPr>
        <w:t>rilevava</w:t>
      </w:r>
      <w:r w:rsidR="00572034">
        <w:rPr>
          <w:sz w:val="28"/>
          <w:szCs w:val="28"/>
        </w:rPr>
        <w:t xml:space="preserve"> </w:t>
      </w:r>
      <w:r w:rsidR="00973094" w:rsidRPr="008967F0">
        <w:rPr>
          <w:sz w:val="28"/>
          <w:szCs w:val="28"/>
        </w:rPr>
        <w:t>la sussistenza</w:t>
      </w:r>
      <w:r w:rsidR="000F2E03" w:rsidRPr="008967F0">
        <w:rPr>
          <w:sz w:val="28"/>
          <w:szCs w:val="28"/>
        </w:rPr>
        <w:t xml:space="preserve"> dei requisiti</w:t>
      </w:r>
      <w:r w:rsidR="00572034">
        <w:rPr>
          <w:sz w:val="28"/>
          <w:szCs w:val="28"/>
        </w:rPr>
        <w:t xml:space="preserve"> </w:t>
      </w:r>
      <w:r w:rsidR="00331C11" w:rsidRPr="008967F0">
        <w:rPr>
          <w:i/>
          <w:sz w:val="28"/>
          <w:szCs w:val="28"/>
        </w:rPr>
        <w:t>“per sollevare la questione di legittimità costituzionale, per contrasto con gli artt. 25, 3 e 27 Cost., in relazione all’art. 73, comma 1, d.P.R. n. 309/1990, nella parte in cui detta norma prevede – a seguito della sentenza n. 32 dell’11 febbraio 2014 della Corte costituzionale – la pena minima edittale di otto anni in luogo di quella di sei anni introdotta con l’art.4-bis del decreto-legge 30 dicembre 2005, n. 272, convertito con modificazioni con la legge 21 febbraio 2006, n. 49”</w:t>
      </w:r>
      <w:r w:rsidR="00357F6C" w:rsidRPr="008967F0">
        <w:rPr>
          <w:sz w:val="28"/>
          <w:szCs w:val="28"/>
        </w:rPr>
        <w:t>.</w:t>
      </w:r>
      <w:r w:rsidR="002C1484" w:rsidRPr="008967F0">
        <w:rPr>
          <w:sz w:val="28"/>
          <w:szCs w:val="28"/>
        </w:rPr>
        <w:t xml:space="preserve"> Più in particolare, la Corte di cassazione </w:t>
      </w:r>
      <w:r w:rsidR="008967F0">
        <w:rPr>
          <w:sz w:val="28"/>
          <w:szCs w:val="28"/>
        </w:rPr>
        <w:t>assume</w:t>
      </w:r>
      <w:r w:rsidR="002C1484" w:rsidRPr="008967F0">
        <w:rPr>
          <w:sz w:val="28"/>
          <w:szCs w:val="28"/>
        </w:rPr>
        <w:t xml:space="preserve"> violati i </w:t>
      </w:r>
      <w:r w:rsidR="008967F0">
        <w:rPr>
          <w:sz w:val="28"/>
          <w:szCs w:val="28"/>
        </w:rPr>
        <w:t xml:space="preserve">seguenti </w:t>
      </w:r>
      <w:r w:rsidR="002C1484" w:rsidRPr="008967F0">
        <w:rPr>
          <w:sz w:val="28"/>
          <w:szCs w:val="28"/>
        </w:rPr>
        <w:t>princ</w:t>
      </w:r>
      <w:r w:rsidR="008967F0">
        <w:rPr>
          <w:sz w:val="28"/>
          <w:szCs w:val="28"/>
        </w:rPr>
        <w:t>ì</w:t>
      </w:r>
      <w:r w:rsidR="005B4FC7" w:rsidRPr="008967F0">
        <w:rPr>
          <w:sz w:val="28"/>
          <w:szCs w:val="28"/>
        </w:rPr>
        <w:t>pi costituzionalmente tutelati</w:t>
      </w:r>
      <w:r w:rsidR="008967F0">
        <w:rPr>
          <w:sz w:val="28"/>
          <w:szCs w:val="28"/>
        </w:rPr>
        <w:t>:</w:t>
      </w:r>
      <w:r w:rsidR="005B4FC7" w:rsidRPr="008967F0">
        <w:rPr>
          <w:sz w:val="28"/>
          <w:szCs w:val="28"/>
        </w:rPr>
        <w:t xml:space="preserve"> della</w:t>
      </w:r>
      <w:r w:rsidR="002C1484" w:rsidRPr="008967F0">
        <w:rPr>
          <w:sz w:val="28"/>
          <w:szCs w:val="28"/>
        </w:rPr>
        <w:t xml:space="preserve"> riserva di legge in materia penale, </w:t>
      </w:r>
      <w:r w:rsidR="005B4FC7" w:rsidRPr="008967F0">
        <w:rPr>
          <w:sz w:val="28"/>
          <w:szCs w:val="28"/>
        </w:rPr>
        <w:t xml:space="preserve">della </w:t>
      </w:r>
      <w:r w:rsidR="002C1484" w:rsidRPr="008967F0">
        <w:rPr>
          <w:sz w:val="28"/>
          <w:szCs w:val="28"/>
        </w:rPr>
        <w:t xml:space="preserve">ragionevolezza e </w:t>
      </w:r>
      <w:r w:rsidR="00CF0E77" w:rsidRPr="008967F0">
        <w:rPr>
          <w:sz w:val="28"/>
          <w:szCs w:val="28"/>
        </w:rPr>
        <w:t xml:space="preserve">della </w:t>
      </w:r>
      <w:r w:rsidR="002C1484" w:rsidRPr="008967F0">
        <w:rPr>
          <w:sz w:val="28"/>
          <w:szCs w:val="28"/>
        </w:rPr>
        <w:t>proporzionalità.</w:t>
      </w:r>
    </w:p>
    <w:p w14:paraId="4F5450C2" w14:textId="77777777" w:rsidR="00CF0E77" w:rsidRPr="008967F0" w:rsidRDefault="00CF0E77" w:rsidP="008967F0">
      <w:pPr>
        <w:spacing w:line="240" w:lineRule="auto"/>
        <w:ind w:left="567" w:right="425"/>
        <w:contextualSpacing/>
        <w:jc w:val="both"/>
        <w:rPr>
          <w:sz w:val="28"/>
          <w:szCs w:val="28"/>
        </w:rPr>
      </w:pPr>
    </w:p>
    <w:p w14:paraId="70AB017C" w14:textId="77777777" w:rsidR="00052715" w:rsidRPr="008967F0" w:rsidRDefault="00593BE1" w:rsidP="008967F0">
      <w:pPr>
        <w:spacing w:line="240" w:lineRule="auto"/>
        <w:ind w:left="567" w:right="425"/>
        <w:contextualSpacing/>
        <w:jc w:val="both"/>
        <w:rPr>
          <w:sz w:val="28"/>
          <w:szCs w:val="28"/>
        </w:rPr>
      </w:pPr>
      <w:r w:rsidRPr="008967F0">
        <w:rPr>
          <w:sz w:val="28"/>
          <w:szCs w:val="28"/>
        </w:rPr>
        <w:t>Orbene, a</w:t>
      </w:r>
      <w:r w:rsidR="00E95359" w:rsidRPr="008967F0">
        <w:rPr>
          <w:sz w:val="28"/>
          <w:szCs w:val="28"/>
        </w:rPr>
        <w:t xml:space="preserve">d avviso dei Giudici rimettenti, la sanzione minima di otto anni di reclusione </w:t>
      </w:r>
      <w:r w:rsidR="00470624" w:rsidRPr="008967F0">
        <w:rPr>
          <w:sz w:val="28"/>
          <w:szCs w:val="28"/>
        </w:rPr>
        <w:t>-</w:t>
      </w:r>
      <w:r w:rsidR="00E95359" w:rsidRPr="008967F0">
        <w:rPr>
          <w:sz w:val="28"/>
          <w:szCs w:val="28"/>
        </w:rPr>
        <w:t>previst</w:t>
      </w:r>
      <w:r w:rsidR="002731E7" w:rsidRPr="008967F0">
        <w:rPr>
          <w:sz w:val="28"/>
          <w:szCs w:val="28"/>
        </w:rPr>
        <w:t>a</w:t>
      </w:r>
      <w:r w:rsidR="00E95359" w:rsidRPr="008967F0">
        <w:rPr>
          <w:sz w:val="28"/>
          <w:szCs w:val="28"/>
        </w:rPr>
        <w:t xml:space="preserve"> dal comma 1 dell’ art. 73, a seguito della d</w:t>
      </w:r>
      <w:r w:rsidR="00DA1954">
        <w:rPr>
          <w:sz w:val="28"/>
          <w:szCs w:val="28"/>
        </w:rPr>
        <w:t xml:space="preserve">eclaratoria d'incostituzionalità </w:t>
      </w:r>
      <w:r w:rsidR="00E95359" w:rsidRPr="008967F0">
        <w:rPr>
          <w:sz w:val="28"/>
          <w:szCs w:val="28"/>
        </w:rPr>
        <w:t>dell’art. 4-bis D.L. 272/05</w:t>
      </w:r>
      <w:r w:rsidR="00470624" w:rsidRPr="008967F0">
        <w:rPr>
          <w:sz w:val="28"/>
          <w:szCs w:val="28"/>
        </w:rPr>
        <w:t>-</w:t>
      </w:r>
      <w:r w:rsidR="00E95359" w:rsidRPr="008967F0">
        <w:rPr>
          <w:sz w:val="28"/>
          <w:szCs w:val="28"/>
        </w:rPr>
        <w:t xml:space="preserve"> contrast</w:t>
      </w:r>
      <w:r w:rsidR="006A1110" w:rsidRPr="008967F0">
        <w:rPr>
          <w:sz w:val="28"/>
          <w:szCs w:val="28"/>
        </w:rPr>
        <w:t>erebbe con</w:t>
      </w:r>
      <w:r w:rsidR="00572034">
        <w:rPr>
          <w:sz w:val="28"/>
          <w:szCs w:val="28"/>
        </w:rPr>
        <w:t xml:space="preserve"> </w:t>
      </w:r>
      <w:r w:rsidR="00CB1306" w:rsidRPr="008967F0">
        <w:rPr>
          <w:sz w:val="28"/>
          <w:szCs w:val="28"/>
        </w:rPr>
        <w:t>il principio di riserva di legge in materia penale (art. 25, comma secondo, Cost</w:t>
      </w:r>
      <w:r w:rsidR="00B620D2">
        <w:rPr>
          <w:sz w:val="28"/>
          <w:szCs w:val="28"/>
        </w:rPr>
        <w:t>.</w:t>
      </w:r>
      <w:r w:rsidR="00CB1306" w:rsidRPr="008967F0">
        <w:rPr>
          <w:sz w:val="28"/>
          <w:szCs w:val="28"/>
        </w:rPr>
        <w:t>)</w:t>
      </w:r>
      <w:r w:rsidR="00B620D2">
        <w:rPr>
          <w:sz w:val="28"/>
          <w:szCs w:val="28"/>
        </w:rPr>
        <w:t xml:space="preserve"> </w:t>
      </w:r>
      <w:r w:rsidR="0046750A" w:rsidRPr="008967F0">
        <w:rPr>
          <w:sz w:val="28"/>
          <w:szCs w:val="28"/>
        </w:rPr>
        <w:t>in considerazione del fatto che</w:t>
      </w:r>
      <w:r w:rsidR="00CB1306" w:rsidRPr="008967F0">
        <w:rPr>
          <w:sz w:val="28"/>
          <w:szCs w:val="28"/>
        </w:rPr>
        <w:t xml:space="preserve">… </w:t>
      </w:r>
      <w:r w:rsidR="00CB1306" w:rsidRPr="008967F0">
        <w:rPr>
          <w:i/>
          <w:sz w:val="28"/>
          <w:szCs w:val="28"/>
        </w:rPr>
        <w:t>“le sentenze costituzionali di accoglimento -di natura sia ablativa che additiva- avendo carattere di generalità (erga omnes), incidono direttamente sulla disciplina normativa vigente in un determinata materia e devono, pertanto, essere considerate quali vere e proprie fonti del diritto penale”</w:t>
      </w:r>
      <w:r w:rsidR="00CB1306" w:rsidRPr="008967F0">
        <w:rPr>
          <w:sz w:val="28"/>
          <w:szCs w:val="28"/>
        </w:rPr>
        <w:t>.</w:t>
      </w:r>
    </w:p>
    <w:p w14:paraId="6B64D82C" w14:textId="77777777" w:rsidR="00CF0E77" w:rsidRPr="008967F0" w:rsidRDefault="00CF0E77" w:rsidP="008967F0">
      <w:pPr>
        <w:spacing w:line="240" w:lineRule="auto"/>
        <w:ind w:left="567" w:right="425"/>
        <w:contextualSpacing/>
        <w:jc w:val="both"/>
        <w:rPr>
          <w:sz w:val="28"/>
          <w:szCs w:val="28"/>
        </w:rPr>
      </w:pPr>
    </w:p>
    <w:p w14:paraId="16C60001" w14:textId="77777777" w:rsidR="00EF1F0F" w:rsidRDefault="006A1110" w:rsidP="008967F0">
      <w:pPr>
        <w:spacing w:line="240" w:lineRule="auto"/>
        <w:ind w:left="567" w:right="425"/>
        <w:contextualSpacing/>
        <w:jc w:val="both"/>
        <w:rPr>
          <w:sz w:val="28"/>
          <w:szCs w:val="28"/>
        </w:rPr>
      </w:pPr>
      <w:r w:rsidRPr="008967F0">
        <w:rPr>
          <w:sz w:val="28"/>
          <w:szCs w:val="28"/>
        </w:rPr>
        <w:lastRenderedPageBreak/>
        <w:t>Ma non solo. Sempre ad avviso della Corte suprema, tenuto conto che le sentenze d’incostituzionalità, nella sca</w:t>
      </w:r>
      <w:r w:rsidR="005E0512" w:rsidRPr="008967F0">
        <w:rPr>
          <w:sz w:val="28"/>
          <w:szCs w:val="28"/>
        </w:rPr>
        <w:t>la delle fonti del diritto, van</w:t>
      </w:r>
      <w:r w:rsidR="00196486" w:rsidRPr="008967F0">
        <w:rPr>
          <w:sz w:val="28"/>
          <w:szCs w:val="28"/>
        </w:rPr>
        <w:t>n</w:t>
      </w:r>
      <w:r w:rsidRPr="008967F0">
        <w:rPr>
          <w:sz w:val="28"/>
          <w:szCs w:val="28"/>
        </w:rPr>
        <w:t xml:space="preserve">o equiparate alla legge ordinaria e non possiedono rango super-primario, la </w:t>
      </w:r>
      <w:r w:rsidR="00642B5D" w:rsidRPr="008967F0">
        <w:rPr>
          <w:sz w:val="28"/>
          <w:szCs w:val="28"/>
        </w:rPr>
        <w:t>possibilità di legiferare</w:t>
      </w:r>
      <w:r w:rsidR="00572034">
        <w:rPr>
          <w:sz w:val="28"/>
          <w:szCs w:val="28"/>
        </w:rPr>
        <w:t xml:space="preserve"> </w:t>
      </w:r>
      <w:r w:rsidR="00052715" w:rsidRPr="008967F0">
        <w:rPr>
          <w:sz w:val="28"/>
          <w:szCs w:val="28"/>
        </w:rPr>
        <w:t>da parte della giustizia costituzionale si scontra col limite di cui all’art. 25, comma secondo, Costituzion</w:t>
      </w:r>
      <w:r w:rsidR="00C335E1">
        <w:rPr>
          <w:sz w:val="28"/>
          <w:szCs w:val="28"/>
        </w:rPr>
        <w:t>e</w:t>
      </w:r>
      <w:r w:rsidR="00CD3C89" w:rsidRPr="00C335E1">
        <w:rPr>
          <w:sz w:val="28"/>
          <w:szCs w:val="28"/>
        </w:rPr>
        <w:t>:</w:t>
      </w:r>
      <w:r w:rsidR="00642B5D" w:rsidRPr="008967F0">
        <w:rPr>
          <w:sz w:val="28"/>
          <w:szCs w:val="28"/>
        </w:rPr>
        <w:t xml:space="preserve"> </w:t>
      </w:r>
      <w:r w:rsidR="00A16E2D" w:rsidRPr="008967F0">
        <w:rPr>
          <w:sz w:val="28"/>
          <w:szCs w:val="28"/>
        </w:rPr>
        <w:t>pertanto</w:t>
      </w:r>
      <w:r w:rsidR="00CD3C89" w:rsidRPr="00C335E1">
        <w:rPr>
          <w:sz w:val="28"/>
          <w:szCs w:val="28"/>
        </w:rPr>
        <w:t>,</w:t>
      </w:r>
      <w:r w:rsidR="00642B5D" w:rsidRPr="00CD3C89">
        <w:rPr>
          <w:color w:val="FF0000"/>
          <w:sz w:val="28"/>
          <w:szCs w:val="28"/>
        </w:rPr>
        <w:t xml:space="preserve"> </w:t>
      </w:r>
      <w:r w:rsidR="00642B5D" w:rsidRPr="008967F0">
        <w:rPr>
          <w:sz w:val="28"/>
          <w:szCs w:val="28"/>
        </w:rPr>
        <w:t>qualsiasi intervento legislativo final</w:t>
      </w:r>
      <w:r w:rsidR="006F445D" w:rsidRPr="008967F0">
        <w:rPr>
          <w:sz w:val="28"/>
          <w:szCs w:val="28"/>
        </w:rPr>
        <w:t xml:space="preserve">izzato a estendere l’area di </w:t>
      </w:r>
      <w:r w:rsidR="00642B5D" w:rsidRPr="008967F0">
        <w:rPr>
          <w:sz w:val="28"/>
          <w:szCs w:val="28"/>
        </w:rPr>
        <w:t>incriminazione o a inasprire le sanzioni può essere compiuto</w:t>
      </w:r>
      <w:r w:rsidR="00572034">
        <w:rPr>
          <w:sz w:val="28"/>
          <w:szCs w:val="28"/>
        </w:rPr>
        <w:t xml:space="preserve"> </w:t>
      </w:r>
      <w:r w:rsidR="00642B5D" w:rsidRPr="008967F0">
        <w:rPr>
          <w:sz w:val="28"/>
          <w:szCs w:val="28"/>
        </w:rPr>
        <w:t>solamente dal Pa</w:t>
      </w:r>
      <w:r w:rsidR="008B49D1" w:rsidRPr="008967F0">
        <w:rPr>
          <w:sz w:val="28"/>
          <w:szCs w:val="28"/>
        </w:rPr>
        <w:t xml:space="preserve">rlamento. </w:t>
      </w:r>
    </w:p>
    <w:p w14:paraId="44FAEF1E" w14:textId="77777777" w:rsidR="00EF1F0F" w:rsidRDefault="00EF1F0F" w:rsidP="008967F0">
      <w:pPr>
        <w:spacing w:line="240" w:lineRule="auto"/>
        <w:ind w:left="567" w:right="425"/>
        <w:contextualSpacing/>
        <w:jc w:val="both"/>
        <w:rPr>
          <w:sz w:val="28"/>
          <w:szCs w:val="28"/>
        </w:rPr>
      </w:pPr>
    </w:p>
    <w:p w14:paraId="69B43A0C" w14:textId="77777777" w:rsidR="00F01675" w:rsidRPr="008967F0" w:rsidRDefault="008B49D1" w:rsidP="00332C5C">
      <w:pPr>
        <w:spacing w:line="240" w:lineRule="auto"/>
        <w:ind w:left="567" w:right="425"/>
        <w:contextualSpacing/>
        <w:jc w:val="both"/>
        <w:rPr>
          <w:sz w:val="28"/>
          <w:szCs w:val="28"/>
        </w:rPr>
      </w:pPr>
      <w:r w:rsidRPr="008967F0">
        <w:rPr>
          <w:sz w:val="28"/>
          <w:szCs w:val="28"/>
        </w:rPr>
        <w:t xml:space="preserve">Una sentenza d’incostituzionalità non può ripristinare il previgente sistema sanzionatorio in </w:t>
      </w:r>
      <w:proofErr w:type="spellStart"/>
      <w:r w:rsidRPr="008967F0">
        <w:rPr>
          <w:i/>
          <w:sz w:val="28"/>
          <w:szCs w:val="28"/>
        </w:rPr>
        <w:t>malam</w:t>
      </w:r>
      <w:proofErr w:type="spellEnd"/>
      <w:r w:rsidR="005C6CB9">
        <w:rPr>
          <w:i/>
          <w:sz w:val="28"/>
          <w:szCs w:val="28"/>
        </w:rPr>
        <w:t xml:space="preserve"> </w:t>
      </w:r>
      <w:proofErr w:type="spellStart"/>
      <w:r w:rsidRPr="008967F0">
        <w:rPr>
          <w:i/>
          <w:sz w:val="28"/>
          <w:szCs w:val="28"/>
        </w:rPr>
        <w:t>partem</w:t>
      </w:r>
      <w:proofErr w:type="spellEnd"/>
      <w:r w:rsidR="00EF1F0F">
        <w:rPr>
          <w:sz w:val="28"/>
          <w:szCs w:val="28"/>
        </w:rPr>
        <w:t>: l</w:t>
      </w:r>
      <w:r w:rsidRPr="008967F0">
        <w:rPr>
          <w:sz w:val="28"/>
          <w:szCs w:val="28"/>
        </w:rPr>
        <w:t xml:space="preserve">a </w:t>
      </w:r>
      <w:r w:rsidR="00EF1F0F">
        <w:rPr>
          <w:sz w:val="28"/>
          <w:szCs w:val="28"/>
        </w:rPr>
        <w:t>Consulta</w:t>
      </w:r>
      <w:r w:rsidRPr="008967F0">
        <w:rPr>
          <w:sz w:val="28"/>
          <w:szCs w:val="28"/>
        </w:rPr>
        <w:t xml:space="preserve"> è carente dell’</w:t>
      </w:r>
      <w:r w:rsidR="00C337FF" w:rsidRPr="008967F0">
        <w:rPr>
          <w:sz w:val="28"/>
          <w:szCs w:val="28"/>
        </w:rPr>
        <w:t>autorità soggettiva di fonte che è</w:t>
      </w:r>
      <w:r w:rsidR="00EF1F0F">
        <w:rPr>
          <w:sz w:val="28"/>
          <w:szCs w:val="28"/>
        </w:rPr>
        <w:t>, invece, prerogativa</w:t>
      </w:r>
      <w:r w:rsidR="005E0512" w:rsidRPr="008967F0">
        <w:rPr>
          <w:sz w:val="28"/>
          <w:szCs w:val="28"/>
        </w:rPr>
        <w:t xml:space="preserve"> esclusiva de</w:t>
      </w:r>
      <w:r w:rsidR="00EF1F0F">
        <w:rPr>
          <w:sz w:val="28"/>
          <w:szCs w:val="28"/>
        </w:rPr>
        <w:t>lle due Camere.</w:t>
      </w:r>
      <w:r w:rsidRPr="008967F0">
        <w:rPr>
          <w:sz w:val="28"/>
          <w:szCs w:val="28"/>
        </w:rPr>
        <w:t xml:space="preserve"> </w:t>
      </w:r>
      <w:r w:rsidR="00EF1F0F">
        <w:rPr>
          <w:sz w:val="28"/>
          <w:szCs w:val="28"/>
        </w:rPr>
        <w:t>I</w:t>
      </w:r>
      <w:r w:rsidR="009E38D3" w:rsidRPr="008967F0">
        <w:rPr>
          <w:sz w:val="28"/>
          <w:szCs w:val="28"/>
        </w:rPr>
        <w:t>nfatti</w:t>
      </w:r>
      <w:r w:rsidR="00EF1F0F">
        <w:rPr>
          <w:sz w:val="28"/>
          <w:szCs w:val="28"/>
        </w:rPr>
        <w:t>,</w:t>
      </w:r>
      <w:r w:rsidR="009E38D3" w:rsidRPr="008967F0">
        <w:rPr>
          <w:sz w:val="28"/>
          <w:szCs w:val="28"/>
        </w:rPr>
        <w:t xml:space="preserve"> i</w:t>
      </w:r>
      <w:r w:rsidR="00A16E2D" w:rsidRPr="008967F0">
        <w:rPr>
          <w:sz w:val="28"/>
          <w:szCs w:val="28"/>
        </w:rPr>
        <w:t xml:space="preserve"> Giudici remittenti</w:t>
      </w:r>
      <w:r w:rsidR="009E38D3" w:rsidRPr="008967F0">
        <w:rPr>
          <w:sz w:val="28"/>
          <w:szCs w:val="28"/>
        </w:rPr>
        <w:t xml:space="preserve"> ritengono</w:t>
      </w:r>
      <w:r w:rsidR="00A16E2D" w:rsidRPr="008967F0">
        <w:rPr>
          <w:sz w:val="28"/>
          <w:szCs w:val="28"/>
        </w:rPr>
        <w:t xml:space="preserve"> che… </w:t>
      </w:r>
      <w:r w:rsidR="00A16E2D" w:rsidRPr="008967F0">
        <w:rPr>
          <w:i/>
          <w:sz w:val="28"/>
          <w:szCs w:val="28"/>
        </w:rPr>
        <w:t>“la declaratoria d'incostituzionalità di una norma penale generale dal contenuto favorevole (che non introduca, cioè, un trattamento privilegiato soltanto per determinate categorie di soggetti o di comportamenti) non possa ritenersi conforme al dettato dell'art. 25, comma secondo, della Carta Fondamentale”</w:t>
      </w:r>
      <w:r w:rsidR="00A16E2D" w:rsidRPr="008967F0">
        <w:rPr>
          <w:sz w:val="28"/>
          <w:szCs w:val="28"/>
        </w:rPr>
        <w:t>.</w:t>
      </w:r>
      <w:r w:rsidR="00EF1F0F">
        <w:rPr>
          <w:sz w:val="28"/>
          <w:szCs w:val="28"/>
        </w:rPr>
        <w:t xml:space="preserve"> </w:t>
      </w:r>
      <w:r w:rsidR="00332C5C">
        <w:rPr>
          <w:sz w:val="28"/>
          <w:szCs w:val="28"/>
        </w:rPr>
        <w:t xml:space="preserve">Secondo i Giudici di legittimità ciò è vero, a maggior ragione, se si considera la </w:t>
      </w:r>
      <w:r w:rsidR="00332C5C">
        <w:rPr>
          <w:i/>
          <w:sz w:val="28"/>
          <w:szCs w:val="28"/>
        </w:rPr>
        <w:t>ratio</w:t>
      </w:r>
      <w:r w:rsidR="00332C5C">
        <w:rPr>
          <w:sz w:val="28"/>
          <w:szCs w:val="28"/>
        </w:rPr>
        <w:t xml:space="preserve"> che ha ispirato la cd L. Fini – Giovanardi: la riduzione del minimo edittale è il risultato di una valutazione di politica criminale diretta a garantire un’adeguata risposta sanzionatoria alle condotte in materia di stupefacenti e ad applicare una pena adeguata al caso di specie.</w:t>
      </w:r>
    </w:p>
    <w:p w14:paraId="4223CAA2" w14:textId="77777777" w:rsidR="00CF0E77" w:rsidRPr="008967F0" w:rsidRDefault="00CF0E77" w:rsidP="008967F0">
      <w:pPr>
        <w:spacing w:line="240" w:lineRule="auto"/>
        <w:ind w:left="567" w:right="425"/>
        <w:contextualSpacing/>
        <w:jc w:val="both"/>
        <w:rPr>
          <w:sz w:val="28"/>
          <w:szCs w:val="28"/>
        </w:rPr>
      </w:pPr>
    </w:p>
    <w:p w14:paraId="72216E62" w14:textId="77777777" w:rsidR="00113609" w:rsidRPr="008967F0" w:rsidRDefault="00BC28C4" w:rsidP="008967F0">
      <w:pPr>
        <w:spacing w:line="240" w:lineRule="auto"/>
        <w:ind w:left="567" w:right="425"/>
        <w:contextualSpacing/>
        <w:jc w:val="both"/>
        <w:rPr>
          <w:sz w:val="28"/>
          <w:szCs w:val="28"/>
        </w:rPr>
      </w:pPr>
      <w:r w:rsidRPr="008967F0">
        <w:rPr>
          <w:sz w:val="28"/>
          <w:szCs w:val="28"/>
        </w:rPr>
        <w:t xml:space="preserve">Oltre </w:t>
      </w:r>
      <w:r w:rsidR="00196486" w:rsidRPr="008967F0">
        <w:rPr>
          <w:sz w:val="28"/>
          <w:szCs w:val="28"/>
        </w:rPr>
        <w:t>alla violazione del principio della riserva di legge in materia penale</w:t>
      </w:r>
      <w:r w:rsidRPr="008967F0">
        <w:rPr>
          <w:sz w:val="28"/>
          <w:szCs w:val="28"/>
        </w:rPr>
        <w:t>, la Corte</w:t>
      </w:r>
      <w:r w:rsidR="00177180" w:rsidRPr="008967F0">
        <w:rPr>
          <w:sz w:val="28"/>
          <w:szCs w:val="28"/>
        </w:rPr>
        <w:t xml:space="preserve"> di cassazione</w:t>
      </w:r>
      <w:r w:rsidRPr="008967F0">
        <w:rPr>
          <w:sz w:val="28"/>
          <w:szCs w:val="28"/>
        </w:rPr>
        <w:t xml:space="preserve"> ritiene che vi siano dei </w:t>
      </w:r>
      <w:r w:rsidR="00196486" w:rsidRPr="008967F0">
        <w:rPr>
          <w:sz w:val="28"/>
          <w:szCs w:val="28"/>
        </w:rPr>
        <w:t xml:space="preserve">profili di </w:t>
      </w:r>
      <w:r w:rsidRPr="008967F0">
        <w:rPr>
          <w:sz w:val="28"/>
          <w:szCs w:val="28"/>
        </w:rPr>
        <w:t>contrast</w:t>
      </w:r>
      <w:r w:rsidR="00196486" w:rsidRPr="008967F0">
        <w:rPr>
          <w:sz w:val="28"/>
          <w:szCs w:val="28"/>
        </w:rPr>
        <w:t>o</w:t>
      </w:r>
      <w:r w:rsidRPr="008967F0">
        <w:rPr>
          <w:sz w:val="28"/>
          <w:szCs w:val="28"/>
        </w:rPr>
        <w:t xml:space="preserve"> con gli artt. 3 e 27 Cost. per difetto di r</w:t>
      </w:r>
      <w:r w:rsidR="00177180" w:rsidRPr="008967F0">
        <w:rPr>
          <w:sz w:val="28"/>
          <w:szCs w:val="28"/>
        </w:rPr>
        <w:t>agionevolezza e proporzionalità. L</w:t>
      </w:r>
      <w:r w:rsidRPr="008967F0">
        <w:rPr>
          <w:sz w:val="28"/>
          <w:szCs w:val="28"/>
        </w:rPr>
        <w:t xml:space="preserve">a sanzione minima di anni 8 </w:t>
      </w:r>
      <w:r w:rsidR="00686CAF" w:rsidRPr="008967F0">
        <w:rPr>
          <w:sz w:val="28"/>
          <w:szCs w:val="28"/>
        </w:rPr>
        <w:t xml:space="preserve">attualmente prevista </w:t>
      </w:r>
      <w:r w:rsidRPr="008967F0">
        <w:rPr>
          <w:sz w:val="28"/>
          <w:szCs w:val="28"/>
        </w:rPr>
        <w:t xml:space="preserve">è irragionevole se paragonata all’ipotesi lieve del comma </w:t>
      </w:r>
      <w:r w:rsidR="005E0512" w:rsidRPr="008967F0">
        <w:rPr>
          <w:sz w:val="28"/>
          <w:szCs w:val="28"/>
        </w:rPr>
        <w:t>quinto</w:t>
      </w:r>
      <w:r w:rsidR="00C335E1">
        <w:rPr>
          <w:sz w:val="28"/>
          <w:szCs w:val="28"/>
        </w:rPr>
        <w:t xml:space="preserve"> </w:t>
      </w:r>
      <w:r w:rsidR="00332C5C">
        <w:rPr>
          <w:sz w:val="28"/>
          <w:szCs w:val="28"/>
        </w:rPr>
        <w:t xml:space="preserve">    </w:t>
      </w:r>
      <w:r w:rsidR="005E0512" w:rsidRPr="008967F0">
        <w:rPr>
          <w:sz w:val="28"/>
          <w:szCs w:val="28"/>
        </w:rPr>
        <w:t>dell’</w:t>
      </w:r>
      <w:r w:rsidRPr="008967F0">
        <w:rPr>
          <w:sz w:val="28"/>
          <w:szCs w:val="28"/>
        </w:rPr>
        <w:t xml:space="preserve">art. 73 punita con la reclusione </w:t>
      </w:r>
      <w:r w:rsidR="0015682F" w:rsidRPr="008967F0">
        <w:rPr>
          <w:sz w:val="28"/>
          <w:szCs w:val="28"/>
        </w:rPr>
        <w:t xml:space="preserve">da 6 mesi a 4 anni, </w:t>
      </w:r>
      <w:r w:rsidR="00177180" w:rsidRPr="008967F0">
        <w:rPr>
          <w:sz w:val="28"/>
          <w:szCs w:val="28"/>
        </w:rPr>
        <w:t>specie</w:t>
      </w:r>
      <w:r w:rsidR="0015682F" w:rsidRPr="008967F0">
        <w:rPr>
          <w:sz w:val="28"/>
          <w:szCs w:val="28"/>
        </w:rPr>
        <w:t xml:space="preserve"> in considerazione del fatto che la pena </w:t>
      </w:r>
      <w:r w:rsidR="00177180" w:rsidRPr="008967F0">
        <w:rPr>
          <w:sz w:val="28"/>
          <w:szCs w:val="28"/>
        </w:rPr>
        <w:t>minima</w:t>
      </w:r>
      <w:r w:rsidR="0015682F" w:rsidRPr="008967F0">
        <w:rPr>
          <w:sz w:val="28"/>
          <w:szCs w:val="28"/>
        </w:rPr>
        <w:t xml:space="preserve"> per la fattispecie di cui al comma primo dell’art. 73 è superiore di </w:t>
      </w:r>
      <w:r w:rsidR="00177180" w:rsidRPr="008967F0">
        <w:rPr>
          <w:sz w:val="28"/>
          <w:szCs w:val="28"/>
        </w:rPr>
        <w:t xml:space="preserve">ben due anni </w:t>
      </w:r>
      <w:r w:rsidR="0015682F" w:rsidRPr="008967F0">
        <w:rPr>
          <w:sz w:val="28"/>
          <w:szCs w:val="28"/>
        </w:rPr>
        <w:t xml:space="preserve">alla pena massima </w:t>
      </w:r>
      <w:r w:rsidR="00177180" w:rsidRPr="008967F0">
        <w:rPr>
          <w:sz w:val="28"/>
          <w:szCs w:val="28"/>
        </w:rPr>
        <w:t xml:space="preserve">prevista </w:t>
      </w:r>
      <w:r w:rsidR="0015682F" w:rsidRPr="008967F0">
        <w:rPr>
          <w:sz w:val="28"/>
          <w:szCs w:val="28"/>
        </w:rPr>
        <w:t>per i</w:t>
      </w:r>
      <w:r w:rsidR="00177180" w:rsidRPr="008967F0">
        <w:rPr>
          <w:sz w:val="28"/>
          <w:szCs w:val="28"/>
        </w:rPr>
        <w:t xml:space="preserve"> reati in materia di droga leggera</w:t>
      </w:r>
      <w:r w:rsidR="00C335E1">
        <w:rPr>
          <w:sz w:val="28"/>
          <w:szCs w:val="28"/>
        </w:rPr>
        <w:t>. A</w:t>
      </w:r>
      <w:r w:rsidR="0015682F" w:rsidRPr="008967F0">
        <w:rPr>
          <w:sz w:val="28"/>
          <w:szCs w:val="28"/>
        </w:rPr>
        <w:t xml:space="preserve"> ciò si aggiunga </w:t>
      </w:r>
      <w:r w:rsidR="00686CAF" w:rsidRPr="008967F0">
        <w:rPr>
          <w:sz w:val="28"/>
          <w:szCs w:val="28"/>
        </w:rPr>
        <w:t>l’ulteriore violazione del principio di proporzionalità</w:t>
      </w:r>
      <w:r w:rsidR="00C335E1">
        <w:rPr>
          <w:sz w:val="28"/>
          <w:szCs w:val="28"/>
        </w:rPr>
        <w:t xml:space="preserve">: </w:t>
      </w:r>
      <w:r w:rsidR="0015682F" w:rsidRPr="008967F0">
        <w:rPr>
          <w:sz w:val="28"/>
          <w:szCs w:val="28"/>
        </w:rPr>
        <w:t>la Corte suprema</w:t>
      </w:r>
      <w:r w:rsidR="00CD3C89" w:rsidRPr="00C335E1">
        <w:rPr>
          <w:sz w:val="28"/>
          <w:szCs w:val="28"/>
        </w:rPr>
        <w:t>,</w:t>
      </w:r>
      <w:r w:rsidR="005E0512" w:rsidRPr="008967F0">
        <w:rPr>
          <w:sz w:val="28"/>
          <w:szCs w:val="28"/>
        </w:rPr>
        <w:t xml:space="preserve"> infatti</w:t>
      </w:r>
      <w:r w:rsidR="00CD3C89" w:rsidRPr="00C335E1">
        <w:rPr>
          <w:sz w:val="28"/>
          <w:szCs w:val="28"/>
        </w:rPr>
        <w:t>,</w:t>
      </w:r>
      <w:r w:rsidR="00CD3C89">
        <w:rPr>
          <w:sz w:val="28"/>
          <w:szCs w:val="28"/>
        </w:rPr>
        <w:t xml:space="preserve"> </w:t>
      </w:r>
      <w:r w:rsidR="00686CAF" w:rsidRPr="008967F0">
        <w:rPr>
          <w:sz w:val="28"/>
          <w:szCs w:val="28"/>
        </w:rPr>
        <w:t>si sofferma su ciò che</w:t>
      </w:r>
      <w:r w:rsidR="0015682F" w:rsidRPr="008967F0">
        <w:rPr>
          <w:sz w:val="28"/>
          <w:szCs w:val="28"/>
        </w:rPr>
        <w:t xml:space="preserve"> accade sovente nella prassi giudiziaria… </w:t>
      </w:r>
      <w:r w:rsidR="008967F0">
        <w:rPr>
          <w:i/>
          <w:sz w:val="28"/>
          <w:szCs w:val="28"/>
        </w:rPr>
        <w:t>“</w:t>
      </w:r>
      <w:r w:rsidR="0015682F" w:rsidRPr="008967F0">
        <w:rPr>
          <w:i/>
          <w:sz w:val="28"/>
          <w:szCs w:val="28"/>
        </w:rPr>
        <w:t xml:space="preserve">la sproporzione del trattamento sanzionatorio si rivela con nitidezza nel momento in cui - in presenza di fatti che presentino una non rilevante gravità, ma che non consentano l'inquadramento della fattispecie nell'art. 73, comma 5 - il decidente, pur indirizzandosi verso il minimo edittale, si trova comunque costretto ad infliggere pene </w:t>
      </w:r>
      <w:r w:rsidR="0015682F" w:rsidRPr="008967F0">
        <w:rPr>
          <w:i/>
          <w:sz w:val="28"/>
          <w:szCs w:val="28"/>
        </w:rPr>
        <w:lastRenderedPageBreak/>
        <w:t>di entità eccessiva, che non sono in ragionevole rapporto con il disvalore della condotta</w:t>
      </w:r>
      <w:r w:rsidR="008967F0">
        <w:rPr>
          <w:i/>
          <w:sz w:val="28"/>
          <w:szCs w:val="28"/>
        </w:rPr>
        <w:t>”</w:t>
      </w:r>
      <w:r w:rsidR="0015682F" w:rsidRPr="008967F0">
        <w:rPr>
          <w:sz w:val="28"/>
          <w:szCs w:val="28"/>
        </w:rPr>
        <w:t>.</w:t>
      </w:r>
    </w:p>
    <w:p w14:paraId="07949506" w14:textId="77777777" w:rsidR="00CF0E77" w:rsidRPr="008967F0" w:rsidRDefault="00CF0E77" w:rsidP="008967F0">
      <w:pPr>
        <w:spacing w:line="240" w:lineRule="auto"/>
        <w:ind w:left="567" w:right="425"/>
        <w:contextualSpacing/>
        <w:jc w:val="both"/>
        <w:rPr>
          <w:sz w:val="28"/>
          <w:szCs w:val="28"/>
        </w:rPr>
      </w:pPr>
    </w:p>
    <w:p w14:paraId="6A25BE8D" w14:textId="77777777" w:rsidR="00113609" w:rsidRPr="008967F0" w:rsidRDefault="0055703E" w:rsidP="008967F0">
      <w:pPr>
        <w:spacing w:line="240" w:lineRule="auto"/>
        <w:ind w:left="567" w:right="425"/>
        <w:contextualSpacing/>
        <w:jc w:val="both"/>
        <w:rPr>
          <w:sz w:val="28"/>
          <w:szCs w:val="28"/>
        </w:rPr>
      </w:pPr>
      <w:r w:rsidRPr="008967F0">
        <w:rPr>
          <w:sz w:val="28"/>
          <w:szCs w:val="28"/>
        </w:rPr>
        <w:t xml:space="preserve">Ritengono, dunque, i Giudici della </w:t>
      </w:r>
      <w:r w:rsidR="00E667ED">
        <w:rPr>
          <w:sz w:val="28"/>
          <w:szCs w:val="28"/>
        </w:rPr>
        <w:t>suprema Corte</w:t>
      </w:r>
      <w:r w:rsidR="00113609" w:rsidRPr="008967F0">
        <w:rPr>
          <w:sz w:val="28"/>
          <w:szCs w:val="28"/>
        </w:rPr>
        <w:t xml:space="preserve"> che</w:t>
      </w:r>
      <w:r w:rsidR="00CD3C89">
        <w:rPr>
          <w:sz w:val="28"/>
          <w:szCs w:val="28"/>
        </w:rPr>
        <w:t xml:space="preserve"> </w:t>
      </w:r>
      <w:r w:rsidR="00E946BE" w:rsidRPr="008967F0">
        <w:rPr>
          <w:sz w:val="28"/>
          <w:szCs w:val="28"/>
        </w:rPr>
        <w:t>l’</w:t>
      </w:r>
      <w:r w:rsidR="00113609" w:rsidRPr="008967F0">
        <w:rPr>
          <w:sz w:val="28"/>
          <w:szCs w:val="28"/>
        </w:rPr>
        <w:t>unica soluzione conforme ai parametri costituzionali degli artt. 25, comma secondo, 3 e 27 C</w:t>
      </w:r>
      <w:r w:rsidR="008665AA" w:rsidRPr="008967F0">
        <w:rPr>
          <w:sz w:val="28"/>
          <w:szCs w:val="28"/>
        </w:rPr>
        <w:t>ost.</w:t>
      </w:r>
      <w:r w:rsidR="008665AA" w:rsidRPr="00B620D2">
        <w:rPr>
          <w:sz w:val="28"/>
          <w:szCs w:val="28"/>
        </w:rPr>
        <w:t>,</w:t>
      </w:r>
      <w:r w:rsidR="008665AA" w:rsidRPr="008967F0">
        <w:rPr>
          <w:sz w:val="28"/>
          <w:szCs w:val="28"/>
        </w:rPr>
        <w:t xml:space="preserve"> </w:t>
      </w:r>
      <w:r w:rsidR="00E946BE" w:rsidRPr="008967F0">
        <w:rPr>
          <w:sz w:val="28"/>
          <w:szCs w:val="28"/>
        </w:rPr>
        <w:t xml:space="preserve">sia </w:t>
      </w:r>
      <w:r w:rsidR="00183A93" w:rsidRPr="008967F0">
        <w:rPr>
          <w:sz w:val="28"/>
          <w:szCs w:val="28"/>
        </w:rPr>
        <w:t>il</w:t>
      </w:r>
      <w:r w:rsidR="00113609" w:rsidRPr="008967F0">
        <w:rPr>
          <w:sz w:val="28"/>
          <w:szCs w:val="28"/>
        </w:rPr>
        <w:t xml:space="preserve"> ripristino del trattamento sanzionatorio introdotto </w:t>
      </w:r>
      <w:r w:rsidR="00183A93" w:rsidRPr="008967F0">
        <w:rPr>
          <w:sz w:val="28"/>
          <w:szCs w:val="28"/>
        </w:rPr>
        <w:t>con la Legge 49 del 2006.</w:t>
      </w:r>
    </w:p>
    <w:p w14:paraId="450C09FA" w14:textId="77777777" w:rsidR="0055703E" w:rsidRDefault="0055703E" w:rsidP="00DA032F">
      <w:pPr>
        <w:spacing w:after="0" w:line="240" w:lineRule="auto"/>
        <w:ind w:left="567" w:right="567"/>
        <w:contextualSpacing/>
        <w:jc w:val="both"/>
        <w:rPr>
          <w:sz w:val="28"/>
          <w:szCs w:val="28"/>
        </w:rPr>
      </w:pPr>
    </w:p>
    <w:p w14:paraId="79E7A517" w14:textId="77777777" w:rsidR="0055703E" w:rsidRDefault="0055703E" w:rsidP="00DA032F">
      <w:pPr>
        <w:spacing w:after="0" w:line="240" w:lineRule="auto"/>
        <w:ind w:left="567" w:right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E’</w:t>
      </w:r>
      <w:proofErr w:type="gramEnd"/>
      <w:r>
        <w:rPr>
          <w:sz w:val="28"/>
          <w:szCs w:val="28"/>
        </w:rPr>
        <w:t xml:space="preserve"> </w:t>
      </w:r>
      <w:r w:rsidR="00B620D2">
        <w:rPr>
          <w:sz w:val="28"/>
          <w:szCs w:val="28"/>
        </w:rPr>
        <w:t>lapa</w:t>
      </w:r>
      <w:r w:rsidR="00CD3C89">
        <w:rPr>
          <w:sz w:val="28"/>
          <w:szCs w:val="28"/>
        </w:rPr>
        <w:t>lissiano</w:t>
      </w:r>
      <w:r w:rsidR="008967F0">
        <w:rPr>
          <w:sz w:val="28"/>
          <w:szCs w:val="28"/>
        </w:rPr>
        <w:t xml:space="preserve"> che l’eventuale accoglimento della sopra detta questione di legittimità costituzionale avrebbe </w:t>
      </w:r>
      <w:r w:rsidR="0010005D">
        <w:rPr>
          <w:sz w:val="28"/>
          <w:szCs w:val="28"/>
        </w:rPr>
        <w:t xml:space="preserve">notevoli ripercussioni </w:t>
      </w:r>
      <w:r w:rsidR="008967F0">
        <w:rPr>
          <w:sz w:val="28"/>
          <w:szCs w:val="28"/>
        </w:rPr>
        <w:t>sul piano pr</w:t>
      </w:r>
      <w:r w:rsidR="0010005D">
        <w:rPr>
          <w:sz w:val="28"/>
          <w:szCs w:val="28"/>
        </w:rPr>
        <w:t>atico, sia in ordine ai giudiz</w:t>
      </w:r>
      <w:r w:rsidR="00332C5C">
        <w:rPr>
          <w:sz w:val="28"/>
          <w:szCs w:val="28"/>
        </w:rPr>
        <w:t>i pendenti</w:t>
      </w:r>
      <w:r w:rsidR="008967F0">
        <w:rPr>
          <w:sz w:val="28"/>
          <w:szCs w:val="28"/>
        </w:rPr>
        <w:t xml:space="preserve"> che</w:t>
      </w:r>
      <w:r w:rsidR="0011646F">
        <w:rPr>
          <w:sz w:val="28"/>
          <w:szCs w:val="28"/>
        </w:rPr>
        <w:t>,</w:t>
      </w:r>
      <w:r w:rsidR="00DD1011">
        <w:rPr>
          <w:sz w:val="28"/>
          <w:szCs w:val="28"/>
        </w:rPr>
        <w:t xml:space="preserve"> </w:t>
      </w:r>
      <w:r w:rsidR="001B4523">
        <w:rPr>
          <w:sz w:val="28"/>
          <w:szCs w:val="28"/>
        </w:rPr>
        <w:t>soprattutto</w:t>
      </w:r>
      <w:r w:rsidR="0011646F">
        <w:rPr>
          <w:sz w:val="28"/>
          <w:szCs w:val="28"/>
        </w:rPr>
        <w:t>,</w:t>
      </w:r>
      <w:r w:rsidR="00DD1011">
        <w:rPr>
          <w:sz w:val="28"/>
          <w:szCs w:val="28"/>
        </w:rPr>
        <w:t xml:space="preserve"> </w:t>
      </w:r>
      <w:r w:rsidR="008967F0">
        <w:rPr>
          <w:sz w:val="28"/>
          <w:szCs w:val="28"/>
        </w:rPr>
        <w:t xml:space="preserve">su quelli </w:t>
      </w:r>
      <w:r w:rsidR="0010005D">
        <w:rPr>
          <w:sz w:val="28"/>
          <w:szCs w:val="28"/>
        </w:rPr>
        <w:t>già def</w:t>
      </w:r>
      <w:r w:rsidR="001B4523">
        <w:rPr>
          <w:sz w:val="28"/>
          <w:szCs w:val="28"/>
        </w:rPr>
        <w:t xml:space="preserve">initi, con buona pace delle cancellerie che vedrebbero </w:t>
      </w:r>
      <w:r w:rsidR="00D6536A">
        <w:rPr>
          <w:sz w:val="28"/>
          <w:szCs w:val="28"/>
        </w:rPr>
        <w:t xml:space="preserve">aumentare la mole </w:t>
      </w:r>
      <w:r w:rsidR="0011646F">
        <w:rPr>
          <w:sz w:val="28"/>
          <w:szCs w:val="28"/>
        </w:rPr>
        <w:t>degli</w:t>
      </w:r>
      <w:r w:rsidR="00DD1011">
        <w:rPr>
          <w:sz w:val="28"/>
          <w:szCs w:val="28"/>
        </w:rPr>
        <w:t xml:space="preserve"> </w:t>
      </w:r>
      <w:r w:rsidR="00D6536A">
        <w:rPr>
          <w:sz w:val="28"/>
          <w:szCs w:val="28"/>
        </w:rPr>
        <w:t>incidenti di esecuzione.</w:t>
      </w:r>
    </w:p>
    <w:p w14:paraId="46B56B6D" w14:textId="77777777" w:rsidR="00E667ED" w:rsidRDefault="00E667ED" w:rsidP="00DA032F">
      <w:pPr>
        <w:spacing w:after="0" w:line="240" w:lineRule="auto"/>
        <w:ind w:left="567" w:right="567"/>
        <w:contextualSpacing/>
        <w:jc w:val="both"/>
        <w:rPr>
          <w:sz w:val="28"/>
          <w:szCs w:val="28"/>
        </w:rPr>
      </w:pPr>
    </w:p>
    <w:p w14:paraId="38E7090B" w14:textId="77777777" w:rsidR="00E667ED" w:rsidRPr="00F01675" w:rsidRDefault="00E667ED" w:rsidP="00E667ED">
      <w:pPr>
        <w:spacing w:after="0" w:line="240" w:lineRule="auto"/>
        <w:ind w:left="567" w:right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Avv. Antonino Catalano.</w:t>
      </w:r>
    </w:p>
    <w:p w14:paraId="1252B9AD" w14:textId="77777777" w:rsidR="00404E64" w:rsidRPr="00404E64" w:rsidRDefault="00404E64" w:rsidP="009141F5">
      <w:pPr>
        <w:spacing w:line="360" w:lineRule="auto"/>
        <w:ind w:left="567" w:right="567"/>
        <w:contextualSpacing/>
        <w:jc w:val="both"/>
        <w:rPr>
          <w:iCs/>
          <w:sz w:val="28"/>
          <w:szCs w:val="28"/>
        </w:rPr>
      </w:pPr>
    </w:p>
    <w:p w14:paraId="0AA9CAB0" w14:textId="77777777" w:rsidR="00F347E3" w:rsidRPr="00F347E3" w:rsidRDefault="00F347E3" w:rsidP="009141F5">
      <w:pPr>
        <w:spacing w:line="360" w:lineRule="auto"/>
        <w:ind w:left="567" w:right="567"/>
        <w:contextualSpacing/>
        <w:jc w:val="both"/>
        <w:rPr>
          <w:iCs/>
          <w:sz w:val="28"/>
          <w:szCs w:val="28"/>
        </w:rPr>
      </w:pPr>
    </w:p>
    <w:p w14:paraId="2ED17531" w14:textId="77777777" w:rsidR="00357F6C" w:rsidRDefault="00357F6C" w:rsidP="009141F5">
      <w:pPr>
        <w:spacing w:line="360" w:lineRule="auto"/>
        <w:ind w:left="567" w:right="567"/>
        <w:contextualSpacing/>
        <w:jc w:val="both"/>
        <w:rPr>
          <w:i/>
          <w:iCs/>
          <w:sz w:val="28"/>
          <w:szCs w:val="28"/>
        </w:rPr>
      </w:pPr>
    </w:p>
    <w:p w14:paraId="34899592" w14:textId="77777777" w:rsidR="002731E7" w:rsidRDefault="002731E7" w:rsidP="009141F5">
      <w:pPr>
        <w:spacing w:line="360" w:lineRule="auto"/>
        <w:ind w:left="567" w:right="567"/>
        <w:contextualSpacing/>
        <w:jc w:val="both"/>
        <w:rPr>
          <w:i/>
          <w:iCs/>
          <w:sz w:val="28"/>
          <w:szCs w:val="28"/>
        </w:rPr>
      </w:pPr>
    </w:p>
    <w:p w14:paraId="1D3BC16E" w14:textId="77777777" w:rsidR="00357F6C" w:rsidRPr="00357F6C" w:rsidRDefault="00357F6C" w:rsidP="009141F5">
      <w:pPr>
        <w:spacing w:line="360" w:lineRule="auto"/>
        <w:ind w:left="567" w:right="567"/>
        <w:contextualSpacing/>
        <w:jc w:val="both"/>
        <w:rPr>
          <w:iCs/>
          <w:sz w:val="28"/>
          <w:szCs w:val="28"/>
        </w:rPr>
      </w:pPr>
    </w:p>
    <w:p w14:paraId="18786611" w14:textId="77777777" w:rsidR="00357F6C" w:rsidRDefault="00357F6C" w:rsidP="009141F5">
      <w:pPr>
        <w:spacing w:line="360" w:lineRule="auto"/>
        <w:ind w:left="567" w:right="567"/>
        <w:contextualSpacing/>
        <w:jc w:val="both"/>
        <w:rPr>
          <w:i/>
          <w:iCs/>
          <w:sz w:val="28"/>
          <w:szCs w:val="28"/>
        </w:rPr>
      </w:pPr>
    </w:p>
    <w:p w14:paraId="5DF04A21" w14:textId="77777777" w:rsidR="006E77CD" w:rsidRPr="001A4334" w:rsidRDefault="006E77CD" w:rsidP="00003BAB">
      <w:pPr>
        <w:spacing w:line="360" w:lineRule="auto"/>
        <w:ind w:right="566"/>
        <w:jc w:val="both"/>
        <w:rPr>
          <w:rFonts w:ascii="Verdana" w:hAnsi="Verdana"/>
          <w:sz w:val="24"/>
          <w:szCs w:val="24"/>
        </w:rPr>
      </w:pPr>
    </w:p>
    <w:sectPr w:rsidR="006E77CD" w:rsidRPr="001A4334" w:rsidSect="008967F0">
      <w:pgSz w:w="11906" w:h="16838"/>
      <w:pgMar w:top="1418" w:right="170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851"/>
  <w:hyphenationZone w:val="283"/>
  <w:characterSpacingControl w:val="doNotCompress"/>
  <w:compat>
    <w:compatSetting w:name="compatibilityMode" w:uri="http://schemas.microsoft.com/office/word" w:val="12"/>
  </w:compat>
  <w:rsids>
    <w:rsidRoot w:val="00D64E52"/>
    <w:rsid w:val="000032B7"/>
    <w:rsid w:val="00003BAB"/>
    <w:rsid w:val="00022D03"/>
    <w:rsid w:val="0002522A"/>
    <w:rsid w:val="0003453D"/>
    <w:rsid w:val="0005087B"/>
    <w:rsid w:val="00052715"/>
    <w:rsid w:val="00072398"/>
    <w:rsid w:val="000921B4"/>
    <w:rsid w:val="000E0749"/>
    <w:rsid w:val="000E6EEB"/>
    <w:rsid w:val="000F2E03"/>
    <w:rsid w:val="0010005D"/>
    <w:rsid w:val="0010378B"/>
    <w:rsid w:val="00113609"/>
    <w:rsid w:val="0011646F"/>
    <w:rsid w:val="001227DF"/>
    <w:rsid w:val="0013023C"/>
    <w:rsid w:val="00145289"/>
    <w:rsid w:val="0015682F"/>
    <w:rsid w:val="001721A5"/>
    <w:rsid w:val="0017409D"/>
    <w:rsid w:val="00177180"/>
    <w:rsid w:val="00183A93"/>
    <w:rsid w:val="00185C4F"/>
    <w:rsid w:val="00195C84"/>
    <w:rsid w:val="00196486"/>
    <w:rsid w:val="001A4334"/>
    <w:rsid w:val="001B4523"/>
    <w:rsid w:val="001C0CE7"/>
    <w:rsid w:val="001E4F8D"/>
    <w:rsid w:val="001F73F7"/>
    <w:rsid w:val="002252FA"/>
    <w:rsid w:val="00255CD8"/>
    <w:rsid w:val="002731E7"/>
    <w:rsid w:val="002A42BD"/>
    <w:rsid w:val="002B03B1"/>
    <w:rsid w:val="002C1484"/>
    <w:rsid w:val="002C6F47"/>
    <w:rsid w:val="002E54F7"/>
    <w:rsid w:val="002E5972"/>
    <w:rsid w:val="002F6776"/>
    <w:rsid w:val="00305F4F"/>
    <w:rsid w:val="00331C11"/>
    <w:rsid w:val="00332C5C"/>
    <w:rsid w:val="00346BEA"/>
    <w:rsid w:val="00354818"/>
    <w:rsid w:val="00357F6C"/>
    <w:rsid w:val="00365546"/>
    <w:rsid w:val="0038183A"/>
    <w:rsid w:val="00383675"/>
    <w:rsid w:val="003A4B53"/>
    <w:rsid w:val="003D54F7"/>
    <w:rsid w:val="003F5669"/>
    <w:rsid w:val="004009A2"/>
    <w:rsid w:val="00404E64"/>
    <w:rsid w:val="0044383D"/>
    <w:rsid w:val="004471E4"/>
    <w:rsid w:val="00465B71"/>
    <w:rsid w:val="0046750A"/>
    <w:rsid w:val="00470624"/>
    <w:rsid w:val="00475DAC"/>
    <w:rsid w:val="00481286"/>
    <w:rsid w:val="004A5A0C"/>
    <w:rsid w:val="004C4523"/>
    <w:rsid w:val="004D10E5"/>
    <w:rsid w:val="004D3665"/>
    <w:rsid w:val="004D701D"/>
    <w:rsid w:val="004F5504"/>
    <w:rsid w:val="0050379E"/>
    <w:rsid w:val="0055703E"/>
    <w:rsid w:val="00572034"/>
    <w:rsid w:val="00593BE1"/>
    <w:rsid w:val="005B4FC7"/>
    <w:rsid w:val="005C4794"/>
    <w:rsid w:val="005C6CB9"/>
    <w:rsid w:val="005E0512"/>
    <w:rsid w:val="005E3F62"/>
    <w:rsid w:val="005E63FA"/>
    <w:rsid w:val="0060560C"/>
    <w:rsid w:val="006133B3"/>
    <w:rsid w:val="0061601E"/>
    <w:rsid w:val="00642B5D"/>
    <w:rsid w:val="006808B6"/>
    <w:rsid w:val="00681A8B"/>
    <w:rsid w:val="00686CAF"/>
    <w:rsid w:val="00697147"/>
    <w:rsid w:val="006A1110"/>
    <w:rsid w:val="006A14C1"/>
    <w:rsid w:val="006A2703"/>
    <w:rsid w:val="006B56A1"/>
    <w:rsid w:val="006C10F0"/>
    <w:rsid w:val="006D4890"/>
    <w:rsid w:val="006E77CD"/>
    <w:rsid w:val="006F445D"/>
    <w:rsid w:val="00702B67"/>
    <w:rsid w:val="0073276E"/>
    <w:rsid w:val="00743C49"/>
    <w:rsid w:val="00754BAB"/>
    <w:rsid w:val="0076743C"/>
    <w:rsid w:val="00772FAA"/>
    <w:rsid w:val="00783BDA"/>
    <w:rsid w:val="0079461E"/>
    <w:rsid w:val="007D2EE9"/>
    <w:rsid w:val="007E1CC9"/>
    <w:rsid w:val="00813244"/>
    <w:rsid w:val="00831E0E"/>
    <w:rsid w:val="00851B46"/>
    <w:rsid w:val="008665AA"/>
    <w:rsid w:val="00870207"/>
    <w:rsid w:val="00895A54"/>
    <w:rsid w:val="008967F0"/>
    <w:rsid w:val="008B49D1"/>
    <w:rsid w:val="008C4D0D"/>
    <w:rsid w:val="008C5D5D"/>
    <w:rsid w:val="009020AE"/>
    <w:rsid w:val="009141F5"/>
    <w:rsid w:val="00914CE6"/>
    <w:rsid w:val="00945C1C"/>
    <w:rsid w:val="00961298"/>
    <w:rsid w:val="00973094"/>
    <w:rsid w:val="00990DC4"/>
    <w:rsid w:val="009A5F10"/>
    <w:rsid w:val="009B7728"/>
    <w:rsid w:val="009E38D3"/>
    <w:rsid w:val="009E6C68"/>
    <w:rsid w:val="00A133EB"/>
    <w:rsid w:val="00A14806"/>
    <w:rsid w:val="00A16985"/>
    <w:rsid w:val="00A16E2D"/>
    <w:rsid w:val="00A22731"/>
    <w:rsid w:val="00A34E5C"/>
    <w:rsid w:val="00A415C2"/>
    <w:rsid w:val="00A53E2E"/>
    <w:rsid w:val="00AE2EBD"/>
    <w:rsid w:val="00B27BBE"/>
    <w:rsid w:val="00B34FFE"/>
    <w:rsid w:val="00B35F13"/>
    <w:rsid w:val="00B4143E"/>
    <w:rsid w:val="00B444FE"/>
    <w:rsid w:val="00B620D2"/>
    <w:rsid w:val="00BC23CA"/>
    <w:rsid w:val="00BC28C4"/>
    <w:rsid w:val="00BD3400"/>
    <w:rsid w:val="00C13F88"/>
    <w:rsid w:val="00C33491"/>
    <w:rsid w:val="00C335E1"/>
    <w:rsid w:val="00C337FF"/>
    <w:rsid w:val="00C64253"/>
    <w:rsid w:val="00C75318"/>
    <w:rsid w:val="00C854E7"/>
    <w:rsid w:val="00C97564"/>
    <w:rsid w:val="00CB1306"/>
    <w:rsid w:val="00CD146D"/>
    <w:rsid w:val="00CD3C89"/>
    <w:rsid w:val="00CE79E4"/>
    <w:rsid w:val="00CF0E77"/>
    <w:rsid w:val="00D02929"/>
    <w:rsid w:val="00D05137"/>
    <w:rsid w:val="00D326BB"/>
    <w:rsid w:val="00D360F6"/>
    <w:rsid w:val="00D43D5E"/>
    <w:rsid w:val="00D64E52"/>
    <w:rsid w:val="00D6536A"/>
    <w:rsid w:val="00D81208"/>
    <w:rsid w:val="00D869BD"/>
    <w:rsid w:val="00D9388C"/>
    <w:rsid w:val="00DA032F"/>
    <w:rsid w:val="00DA1954"/>
    <w:rsid w:val="00DA3B10"/>
    <w:rsid w:val="00DB384F"/>
    <w:rsid w:val="00DC2F84"/>
    <w:rsid w:val="00DD1011"/>
    <w:rsid w:val="00DD59E9"/>
    <w:rsid w:val="00DF73F4"/>
    <w:rsid w:val="00E14044"/>
    <w:rsid w:val="00E16D2C"/>
    <w:rsid w:val="00E2130A"/>
    <w:rsid w:val="00E667ED"/>
    <w:rsid w:val="00E6715B"/>
    <w:rsid w:val="00E8061C"/>
    <w:rsid w:val="00E946BE"/>
    <w:rsid w:val="00E95359"/>
    <w:rsid w:val="00E95E26"/>
    <w:rsid w:val="00EB14ED"/>
    <w:rsid w:val="00EC5F1C"/>
    <w:rsid w:val="00EF1F0F"/>
    <w:rsid w:val="00F009F8"/>
    <w:rsid w:val="00F01675"/>
    <w:rsid w:val="00F15F98"/>
    <w:rsid w:val="00F347E3"/>
    <w:rsid w:val="00F36145"/>
    <w:rsid w:val="00F54F5A"/>
    <w:rsid w:val="00F56459"/>
    <w:rsid w:val="00F56D68"/>
    <w:rsid w:val="00F86E8D"/>
    <w:rsid w:val="00FA26BD"/>
    <w:rsid w:val="00FB7DBF"/>
    <w:rsid w:val="00FD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7E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40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22215-047D-4E41-9E82-C4443C50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4</Pages>
  <Words>1191</Words>
  <Characters>6792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Utente di Microsoft Office</cp:lastModifiedBy>
  <cp:revision>175</cp:revision>
  <dcterms:created xsi:type="dcterms:W3CDTF">2017-02-13T16:36:00Z</dcterms:created>
  <dcterms:modified xsi:type="dcterms:W3CDTF">2017-02-19T08:57:00Z</dcterms:modified>
</cp:coreProperties>
</file>